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A337" w14:textId="77777777" w:rsidR="00E53254" w:rsidRPr="00737DA5" w:rsidRDefault="00E53254" w:rsidP="00E53254">
      <w:pPr>
        <w:jc w:val="center"/>
        <w:rPr>
          <w:b/>
          <w:lang w:val="en-GB"/>
        </w:rPr>
      </w:pPr>
      <w:r w:rsidRPr="00737DA5">
        <w:rPr>
          <w:b/>
          <w:lang w:val="en-GB"/>
        </w:rPr>
        <w:t>Appendix 1</w:t>
      </w:r>
    </w:p>
    <w:p w14:paraId="435630EC" w14:textId="77777777" w:rsidR="00E53254" w:rsidRPr="00737DA5" w:rsidRDefault="00E53254" w:rsidP="00E53254">
      <w:pPr>
        <w:jc w:val="center"/>
        <w:rPr>
          <w:b/>
          <w:lang w:val="en-GB"/>
        </w:rPr>
      </w:pPr>
      <w:r w:rsidRPr="00737DA5">
        <w:rPr>
          <w:b/>
          <w:lang w:val="en-GB"/>
        </w:rPr>
        <w:t>Union contribution based on unit costs, lump sums and flat rates</w:t>
      </w:r>
    </w:p>
    <w:p w14:paraId="75B86F61" w14:textId="694E4F42" w:rsidR="00E53254" w:rsidRPr="00737DA5" w:rsidRDefault="00E53254" w:rsidP="00E53254">
      <w:pPr>
        <w:jc w:val="center"/>
        <w:rPr>
          <w:b/>
          <w:lang w:val="en-GB"/>
        </w:rPr>
      </w:pPr>
      <w:r w:rsidRPr="00737DA5">
        <w:rPr>
          <w:b/>
          <w:lang w:val="en-GB"/>
        </w:rPr>
        <w:t>Template for submitting data for the consideration of the Commission</w:t>
      </w:r>
      <w:r w:rsidR="00285DC5">
        <w:rPr>
          <w:b/>
          <w:lang w:val="en-GB"/>
        </w:rPr>
        <w:t xml:space="preserve"> </w:t>
      </w:r>
      <w:r w:rsidRPr="00737DA5">
        <w:rPr>
          <w:b/>
          <w:lang w:val="en-GB"/>
        </w:rPr>
        <w:t>(Article 94</w:t>
      </w:r>
      <w:r w:rsidR="00285DC5">
        <w:rPr>
          <w:b/>
          <w:lang w:val="en-GB"/>
        </w:rPr>
        <w:t xml:space="preserve">) </w:t>
      </w:r>
      <w:r w:rsidRPr="00737DA5">
        <w:rPr>
          <w:b/>
          <w:lang w:val="en-GB"/>
        </w:rPr>
        <w:t>CPR</w:t>
      </w:r>
    </w:p>
    <w:tbl>
      <w:tblPr>
        <w:tblStyle w:val="Tabelamrea"/>
        <w:tblW w:w="0" w:type="auto"/>
        <w:tblLook w:val="04A0" w:firstRow="1" w:lastRow="0" w:firstColumn="1" w:lastColumn="0" w:noHBand="0" w:noVBand="1"/>
      </w:tblPr>
      <w:tblGrid>
        <w:gridCol w:w="4531"/>
        <w:gridCol w:w="4531"/>
      </w:tblGrid>
      <w:tr w:rsidR="00E53254" w:rsidRPr="00737DA5" w14:paraId="43544704" w14:textId="77777777" w:rsidTr="00E53254">
        <w:tc>
          <w:tcPr>
            <w:tcW w:w="4531" w:type="dxa"/>
          </w:tcPr>
          <w:p w14:paraId="721179FC" w14:textId="77777777" w:rsidR="00E53254" w:rsidRPr="00737DA5" w:rsidRDefault="00E53254" w:rsidP="00E53254">
            <w:pPr>
              <w:rPr>
                <w:lang w:val="en-GB"/>
              </w:rPr>
            </w:pPr>
            <w:r w:rsidRPr="00737DA5">
              <w:rPr>
                <w:lang w:val="en-GB"/>
              </w:rPr>
              <w:t>Date of submitting the proposal</w:t>
            </w:r>
          </w:p>
        </w:tc>
        <w:tc>
          <w:tcPr>
            <w:tcW w:w="4531" w:type="dxa"/>
          </w:tcPr>
          <w:p w14:paraId="2381BD9F" w14:textId="77777777" w:rsidR="00E53254" w:rsidRPr="00737DA5" w:rsidRDefault="00E53254" w:rsidP="00E53254">
            <w:pPr>
              <w:rPr>
                <w:lang w:val="en-GB"/>
              </w:rPr>
            </w:pPr>
          </w:p>
        </w:tc>
      </w:tr>
      <w:tr w:rsidR="00E53254" w:rsidRPr="00737DA5" w14:paraId="7568126E" w14:textId="77777777" w:rsidTr="00E53254">
        <w:tc>
          <w:tcPr>
            <w:tcW w:w="4531" w:type="dxa"/>
          </w:tcPr>
          <w:p w14:paraId="13353E85" w14:textId="77777777" w:rsidR="00E53254" w:rsidRPr="00737DA5" w:rsidRDefault="00E53254" w:rsidP="00E53254">
            <w:pPr>
              <w:rPr>
                <w:lang w:val="en-GB"/>
              </w:rPr>
            </w:pPr>
          </w:p>
        </w:tc>
        <w:tc>
          <w:tcPr>
            <w:tcW w:w="4531" w:type="dxa"/>
          </w:tcPr>
          <w:p w14:paraId="7CAC3487" w14:textId="77777777" w:rsidR="00E53254" w:rsidRPr="00737DA5" w:rsidRDefault="00E53254" w:rsidP="00E53254">
            <w:pPr>
              <w:rPr>
                <w:lang w:val="en-GB"/>
              </w:rPr>
            </w:pPr>
          </w:p>
        </w:tc>
      </w:tr>
    </w:tbl>
    <w:p w14:paraId="3497FBAD" w14:textId="77777777" w:rsidR="00E53254" w:rsidRPr="00737DA5" w:rsidRDefault="00E53254" w:rsidP="00E53254">
      <w:pPr>
        <w:rPr>
          <w:lang w:val="en-GB"/>
        </w:rPr>
      </w:pPr>
    </w:p>
    <w:p w14:paraId="459EDD1C" w14:textId="2A0F50B4" w:rsidR="00A52926" w:rsidRPr="00737DA5" w:rsidRDefault="00E53254" w:rsidP="00E53254">
      <w:pPr>
        <w:rPr>
          <w:lang w:val="en-GB"/>
        </w:rPr>
      </w:pPr>
      <w:r w:rsidRPr="00737DA5">
        <w:rPr>
          <w:lang w:val="en-GB"/>
        </w:rPr>
        <w:t xml:space="preserve">This Appendix is not required when </w:t>
      </w:r>
      <w:r w:rsidR="00285DC5">
        <w:rPr>
          <w:lang w:val="en-GB"/>
        </w:rPr>
        <w:t>Union</w:t>
      </w:r>
      <w:r w:rsidRPr="00737DA5">
        <w:rPr>
          <w:lang w:val="en-GB"/>
        </w:rPr>
        <w:t>-level simplified cost options</w:t>
      </w:r>
      <w:r w:rsidR="00285DC5">
        <w:rPr>
          <w:lang w:val="en-GB"/>
        </w:rPr>
        <w:t xml:space="preserve"> (SCO)</w:t>
      </w:r>
      <w:r w:rsidRPr="00737DA5">
        <w:rPr>
          <w:lang w:val="en-GB"/>
        </w:rPr>
        <w:t xml:space="preserve"> established by the delegated act referred to in Article 94(4) CPR are used.</w:t>
      </w:r>
    </w:p>
    <w:p w14:paraId="4F1EB7EC" w14:textId="77777777" w:rsidR="00E53254" w:rsidRPr="00737DA5" w:rsidRDefault="00E53254" w:rsidP="00E53254">
      <w:pPr>
        <w:pStyle w:val="Odstavekseznama"/>
        <w:numPr>
          <w:ilvl w:val="0"/>
          <w:numId w:val="1"/>
        </w:numPr>
        <w:rPr>
          <w:b/>
          <w:lang w:val="en-GB"/>
        </w:rPr>
      </w:pPr>
      <w:r w:rsidRPr="00737DA5">
        <w:rPr>
          <w:b/>
          <w:lang w:val="en-GB"/>
        </w:rPr>
        <w:t>Summary of the main elements</w:t>
      </w:r>
    </w:p>
    <w:tbl>
      <w:tblPr>
        <w:tblStyle w:val="Tabelamrea"/>
        <w:tblW w:w="0" w:type="auto"/>
        <w:tblLook w:val="04A0" w:firstRow="1" w:lastRow="0" w:firstColumn="1" w:lastColumn="0" w:noHBand="0" w:noVBand="1"/>
      </w:tblPr>
      <w:tblGrid>
        <w:gridCol w:w="1155"/>
        <w:gridCol w:w="617"/>
        <w:gridCol w:w="922"/>
        <w:gridCol w:w="1066"/>
        <w:gridCol w:w="2517"/>
        <w:gridCol w:w="790"/>
        <w:gridCol w:w="1176"/>
        <w:gridCol w:w="789"/>
        <w:gridCol w:w="1269"/>
        <w:gridCol w:w="1415"/>
        <w:gridCol w:w="1155"/>
        <w:gridCol w:w="1123"/>
      </w:tblGrid>
      <w:tr w:rsidR="00160920" w:rsidRPr="00B0273F" w14:paraId="3462913C" w14:textId="77777777" w:rsidTr="00734468">
        <w:tc>
          <w:tcPr>
            <w:tcW w:w="1155" w:type="dxa"/>
          </w:tcPr>
          <w:p w14:paraId="6882C59A" w14:textId="77777777" w:rsidR="00285DC5" w:rsidRPr="00B0273F" w:rsidRDefault="00285DC5" w:rsidP="00E53254">
            <w:pPr>
              <w:rPr>
                <w:sz w:val="18"/>
                <w:szCs w:val="18"/>
                <w:lang w:val="en-GB"/>
              </w:rPr>
            </w:pPr>
            <w:r w:rsidRPr="00B0273F">
              <w:rPr>
                <w:sz w:val="18"/>
                <w:szCs w:val="18"/>
                <w:lang w:val="en-GB"/>
              </w:rPr>
              <w:t>Priority</w:t>
            </w:r>
          </w:p>
        </w:tc>
        <w:tc>
          <w:tcPr>
            <w:tcW w:w="617" w:type="dxa"/>
          </w:tcPr>
          <w:p w14:paraId="7BE3A239" w14:textId="77777777" w:rsidR="00285DC5" w:rsidRPr="00B0273F" w:rsidRDefault="00285DC5" w:rsidP="00E53254">
            <w:pPr>
              <w:rPr>
                <w:sz w:val="18"/>
                <w:szCs w:val="18"/>
                <w:lang w:val="en-GB"/>
              </w:rPr>
            </w:pPr>
            <w:r w:rsidRPr="00B0273F">
              <w:rPr>
                <w:sz w:val="18"/>
                <w:szCs w:val="18"/>
                <w:lang w:val="en-GB"/>
              </w:rPr>
              <w:t>Fund</w:t>
            </w:r>
          </w:p>
        </w:tc>
        <w:tc>
          <w:tcPr>
            <w:tcW w:w="922" w:type="dxa"/>
          </w:tcPr>
          <w:p w14:paraId="66D35985" w14:textId="77777777" w:rsidR="00285DC5" w:rsidRPr="00B0273F" w:rsidRDefault="00285DC5" w:rsidP="00E53254">
            <w:pPr>
              <w:rPr>
                <w:sz w:val="18"/>
                <w:szCs w:val="18"/>
                <w:lang w:val="en-GB"/>
              </w:rPr>
            </w:pPr>
            <w:r w:rsidRPr="00B0273F">
              <w:rPr>
                <w:sz w:val="18"/>
                <w:szCs w:val="18"/>
                <w:lang w:val="en-GB"/>
              </w:rPr>
              <w:t>Specific objective</w:t>
            </w:r>
          </w:p>
        </w:tc>
        <w:tc>
          <w:tcPr>
            <w:tcW w:w="1066" w:type="dxa"/>
          </w:tcPr>
          <w:p w14:paraId="341AD4AB" w14:textId="22F7FFAD" w:rsidR="00285DC5" w:rsidRPr="00B0273F" w:rsidRDefault="00285DC5" w:rsidP="00E53254">
            <w:pPr>
              <w:rPr>
                <w:sz w:val="18"/>
                <w:szCs w:val="18"/>
                <w:lang w:val="en-GB"/>
              </w:rPr>
            </w:pPr>
            <w:r w:rsidRPr="00B0273F">
              <w:rPr>
                <w:sz w:val="18"/>
                <w:szCs w:val="18"/>
                <w:lang w:val="en-GB"/>
              </w:rPr>
              <w:t>Category of region</w:t>
            </w:r>
          </w:p>
        </w:tc>
        <w:tc>
          <w:tcPr>
            <w:tcW w:w="2517" w:type="dxa"/>
          </w:tcPr>
          <w:p w14:paraId="551E240C" w14:textId="2897D3A5" w:rsidR="00285DC5" w:rsidRPr="00B0273F" w:rsidRDefault="00285DC5" w:rsidP="00920ED8">
            <w:pPr>
              <w:rPr>
                <w:sz w:val="18"/>
                <w:szCs w:val="18"/>
                <w:lang w:val="en-GB"/>
              </w:rPr>
            </w:pPr>
            <w:r w:rsidRPr="00B0273F">
              <w:rPr>
                <w:sz w:val="18"/>
                <w:szCs w:val="18"/>
                <w:lang w:val="en-GB"/>
              </w:rPr>
              <w:t>Estimated proportion of the total financial allocation within the priority to which the SCO will be applied in %</w:t>
            </w:r>
          </w:p>
        </w:tc>
        <w:tc>
          <w:tcPr>
            <w:tcW w:w="1966" w:type="dxa"/>
            <w:gridSpan w:val="2"/>
          </w:tcPr>
          <w:p w14:paraId="0059CD4F" w14:textId="77777777" w:rsidR="00285DC5" w:rsidRPr="00B0273F" w:rsidRDefault="00285DC5" w:rsidP="00E53254">
            <w:pPr>
              <w:rPr>
                <w:sz w:val="18"/>
                <w:szCs w:val="18"/>
                <w:lang w:val="en-GB"/>
              </w:rPr>
            </w:pPr>
            <w:r w:rsidRPr="00B0273F">
              <w:rPr>
                <w:sz w:val="18"/>
                <w:szCs w:val="18"/>
                <w:lang w:val="en-GB"/>
              </w:rPr>
              <w:t>Type(s) of operation covered</w:t>
            </w:r>
          </w:p>
          <w:p w14:paraId="10260739" w14:textId="77777777" w:rsidR="00285DC5" w:rsidRPr="00B0273F" w:rsidRDefault="00285DC5" w:rsidP="00E53254">
            <w:pPr>
              <w:rPr>
                <w:sz w:val="18"/>
                <w:szCs w:val="18"/>
                <w:lang w:val="en-GB"/>
              </w:rPr>
            </w:pPr>
          </w:p>
        </w:tc>
        <w:tc>
          <w:tcPr>
            <w:tcW w:w="2058" w:type="dxa"/>
            <w:gridSpan w:val="2"/>
          </w:tcPr>
          <w:p w14:paraId="1DEFE00A" w14:textId="77777777" w:rsidR="00285DC5" w:rsidRPr="00B0273F" w:rsidRDefault="00285DC5" w:rsidP="00E53254">
            <w:pPr>
              <w:rPr>
                <w:sz w:val="18"/>
                <w:szCs w:val="18"/>
                <w:lang w:val="en-GB"/>
              </w:rPr>
            </w:pPr>
            <w:r w:rsidRPr="00B0273F">
              <w:rPr>
                <w:sz w:val="18"/>
                <w:szCs w:val="18"/>
                <w:lang w:val="en-GB"/>
              </w:rPr>
              <w:t>Indicator triggering reimbursement</w:t>
            </w:r>
          </w:p>
          <w:p w14:paraId="1672A8AC" w14:textId="77777777" w:rsidR="00285DC5" w:rsidRPr="00B0273F" w:rsidRDefault="00285DC5" w:rsidP="00E53254">
            <w:pPr>
              <w:rPr>
                <w:sz w:val="18"/>
                <w:szCs w:val="18"/>
                <w:lang w:val="en-GB"/>
              </w:rPr>
            </w:pPr>
          </w:p>
        </w:tc>
        <w:tc>
          <w:tcPr>
            <w:tcW w:w="1415" w:type="dxa"/>
          </w:tcPr>
          <w:p w14:paraId="47BD8DA6" w14:textId="77777777" w:rsidR="00285DC5" w:rsidRPr="00B0273F" w:rsidRDefault="00285DC5" w:rsidP="00E53254">
            <w:pPr>
              <w:rPr>
                <w:sz w:val="18"/>
                <w:szCs w:val="18"/>
                <w:lang w:val="en-GB"/>
              </w:rPr>
            </w:pPr>
            <w:r w:rsidRPr="00B0273F">
              <w:rPr>
                <w:sz w:val="18"/>
                <w:szCs w:val="18"/>
                <w:lang w:val="en-GB"/>
              </w:rPr>
              <w:t>Unit of measurement for the indicator triggering reimbursement</w:t>
            </w:r>
          </w:p>
          <w:p w14:paraId="4DEFF7DD" w14:textId="77777777" w:rsidR="00285DC5" w:rsidRPr="00B0273F" w:rsidRDefault="00285DC5" w:rsidP="00E53254">
            <w:pPr>
              <w:rPr>
                <w:sz w:val="18"/>
                <w:szCs w:val="18"/>
                <w:lang w:val="en-GB"/>
              </w:rPr>
            </w:pPr>
          </w:p>
        </w:tc>
        <w:tc>
          <w:tcPr>
            <w:tcW w:w="1155" w:type="dxa"/>
          </w:tcPr>
          <w:p w14:paraId="0A04BBF8" w14:textId="6EA77BF0" w:rsidR="00285DC5" w:rsidRPr="00B0273F" w:rsidRDefault="00285DC5" w:rsidP="00E53254">
            <w:pPr>
              <w:rPr>
                <w:sz w:val="18"/>
                <w:szCs w:val="18"/>
                <w:lang w:val="en-GB"/>
              </w:rPr>
            </w:pPr>
            <w:r w:rsidRPr="00B0273F">
              <w:rPr>
                <w:sz w:val="18"/>
                <w:szCs w:val="18"/>
                <w:lang w:val="en-GB"/>
              </w:rPr>
              <w:t>Type of SCO (standard scale of unit costs, lump sums or flat rates)</w:t>
            </w:r>
          </w:p>
          <w:p w14:paraId="72ABD509" w14:textId="77777777" w:rsidR="00285DC5" w:rsidRPr="00B0273F" w:rsidRDefault="00285DC5" w:rsidP="00E53254">
            <w:pPr>
              <w:rPr>
                <w:sz w:val="18"/>
                <w:szCs w:val="18"/>
                <w:lang w:val="en-GB"/>
              </w:rPr>
            </w:pPr>
          </w:p>
        </w:tc>
        <w:tc>
          <w:tcPr>
            <w:tcW w:w="1123" w:type="dxa"/>
          </w:tcPr>
          <w:p w14:paraId="4518A019" w14:textId="2A4A9994" w:rsidR="00285DC5" w:rsidRPr="00B0273F" w:rsidRDefault="00285DC5" w:rsidP="00E53254">
            <w:pPr>
              <w:rPr>
                <w:sz w:val="18"/>
                <w:szCs w:val="18"/>
                <w:lang w:val="en-GB"/>
              </w:rPr>
            </w:pPr>
            <w:r w:rsidRPr="00B0273F">
              <w:rPr>
                <w:sz w:val="18"/>
                <w:szCs w:val="18"/>
                <w:lang w:val="en-GB"/>
              </w:rPr>
              <w:t>Amount (in EUR) or percentage (in case of flat rates) of the SCO</w:t>
            </w:r>
          </w:p>
          <w:p w14:paraId="5CC2B33A" w14:textId="77777777" w:rsidR="00285DC5" w:rsidRPr="00B0273F" w:rsidRDefault="00285DC5" w:rsidP="00E53254">
            <w:pPr>
              <w:rPr>
                <w:sz w:val="18"/>
                <w:szCs w:val="18"/>
                <w:lang w:val="en-GB"/>
              </w:rPr>
            </w:pPr>
          </w:p>
        </w:tc>
      </w:tr>
      <w:tr w:rsidR="00160920" w:rsidRPr="00B0273F" w14:paraId="75D5655F" w14:textId="77777777" w:rsidTr="00734468">
        <w:tc>
          <w:tcPr>
            <w:tcW w:w="1155" w:type="dxa"/>
          </w:tcPr>
          <w:p w14:paraId="446A8A7B" w14:textId="77777777" w:rsidR="00285DC5" w:rsidRPr="00B0273F" w:rsidRDefault="00285DC5" w:rsidP="00E53254">
            <w:pPr>
              <w:rPr>
                <w:sz w:val="18"/>
                <w:szCs w:val="18"/>
                <w:lang w:val="en-GB"/>
              </w:rPr>
            </w:pPr>
          </w:p>
        </w:tc>
        <w:tc>
          <w:tcPr>
            <w:tcW w:w="617" w:type="dxa"/>
          </w:tcPr>
          <w:p w14:paraId="464F68CD" w14:textId="77777777" w:rsidR="00285DC5" w:rsidRPr="00B0273F" w:rsidRDefault="00285DC5" w:rsidP="00E53254">
            <w:pPr>
              <w:rPr>
                <w:sz w:val="18"/>
                <w:szCs w:val="18"/>
                <w:lang w:val="en-GB"/>
              </w:rPr>
            </w:pPr>
          </w:p>
        </w:tc>
        <w:tc>
          <w:tcPr>
            <w:tcW w:w="922" w:type="dxa"/>
          </w:tcPr>
          <w:p w14:paraId="6F744B53" w14:textId="77777777" w:rsidR="00285DC5" w:rsidRPr="00B0273F" w:rsidRDefault="00285DC5" w:rsidP="00E53254">
            <w:pPr>
              <w:rPr>
                <w:sz w:val="18"/>
                <w:szCs w:val="18"/>
                <w:lang w:val="en-GB"/>
              </w:rPr>
            </w:pPr>
          </w:p>
        </w:tc>
        <w:tc>
          <w:tcPr>
            <w:tcW w:w="1066" w:type="dxa"/>
          </w:tcPr>
          <w:p w14:paraId="0F3684D1" w14:textId="77777777" w:rsidR="00285DC5" w:rsidRPr="00B0273F" w:rsidRDefault="00285DC5" w:rsidP="00E53254">
            <w:pPr>
              <w:rPr>
                <w:sz w:val="18"/>
                <w:szCs w:val="18"/>
                <w:lang w:val="en-GB"/>
              </w:rPr>
            </w:pPr>
          </w:p>
        </w:tc>
        <w:tc>
          <w:tcPr>
            <w:tcW w:w="2517" w:type="dxa"/>
          </w:tcPr>
          <w:p w14:paraId="5B7A9A99" w14:textId="045D6D4B" w:rsidR="00285DC5" w:rsidRPr="00B0273F" w:rsidRDefault="00285DC5" w:rsidP="00E53254">
            <w:pPr>
              <w:rPr>
                <w:sz w:val="18"/>
                <w:szCs w:val="18"/>
                <w:lang w:val="en-GB"/>
              </w:rPr>
            </w:pPr>
          </w:p>
        </w:tc>
        <w:tc>
          <w:tcPr>
            <w:tcW w:w="790" w:type="dxa"/>
          </w:tcPr>
          <w:p w14:paraId="0989CBB5" w14:textId="77777777" w:rsidR="00285DC5" w:rsidRPr="00B0273F" w:rsidRDefault="00285DC5" w:rsidP="00E53254">
            <w:pPr>
              <w:rPr>
                <w:sz w:val="18"/>
                <w:szCs w:val="18"/>
                <w:lang w:val="en-GB"/>
              </w:rPr>
            </w:pPr>
            <w:proofErr w:type="gramStart"/>
            <w:r w:rsidRPr="00B0273F">
              <w:rPr>
                <w:sz w:val="18"/>
                <w:szCs w:val="18"/>
                <w:lang w:val="en-GB"/>
              </w:rPr>
              <w:t>Code(</w:t>
            </w:r>
            <w:proofErr w:type="gramEnd"/>
            <w:r w:rsidRPr="00B0273F">
              <w:rPr>
                <w:sz w:val="18"/>
                <w:szCs w:val="18"/>
                <w:vertAlign w:val="superscript"/>
                <w:lang w:val="en-GB"/>
              </w:rPr>
              <w:t>1</w:t>
            </w:r>
            <w:r w:rsidRPr="00B0273F">
              <w:rPr>
                <w:sz w:val="18"/>
                <w:szCs w:val="18"/>
                <w:lang w:val="en-GB"/>
              </w:rPr>
              <w:t>)</w:t>
            </w:r>
          </w:p>
          <w:p w14:paraId="0658965B" w14:textId="77777777" w:rsidR="00285DC5" w:rsidRPr="00B0273F" w:rsidRDefault="00285DC5" w:rsidP="00E53254">
            <w:pPr>
              <w:rPr>
                <w:sz w:val="18"/>
                <w:szCs w:val="18"/>
                <w:lang w:val="en-GB"/>
              </w:rPr>
            </w:pPr>
          </w:p>
        </w:tc>
        <w:tc>
          <w:tcPr>
            <w:tcW w:w="1176" w:type="dxa"/>
          </w:tcPr>
          <w:p w14:paraId="0F8CCBFF" w14:textId="77777777" w:rsidR="00285DC5" w:rsidRPr="00B0273F" w:rsidRDefault="00285DC5" w:rsidP="00E53254">
            <w:pPr>
              <w:rPr>
                <w:sz w:val="18"/>
                <w:szCs w:val="18"/>
                <w:lang w:val="en-GB"/>
              </w:rPr>
            </w:pPr>
            <w:r w:rsidRPr="00B0273F">
              <w:rPr>
                <w:sz w:val="18"/>
                <w:szCs w:val="18"/>
                <w:lang w:val="en-GB"/>
              </w:rPr>
              <w:t>Description</w:t>
            </w:r>
          </w:p>
          <w:p w14:paraId="277AAC30" w14:textId="77777777" w:rsidR="00285DC5" w:rsidRPr="00B0273F" w:rsidRDefault="00285DC5" w:rsidP="00E53254">
            <w:pPr>
              <w:rPr>
                <w:sz w:val="18"/>
                <w:szCs w:val="18"/>
                <w:lang w:val="en-GB"/>
              </w:rPr>
            </w:pPr>
          </w:p>
        </w:tc>
        <w:tc>
          <w:tcPr>
            <w:tcW w:w="789" w:type="dxa"/>
          </w:tcPr>
          <w:p w14:paraId="282C69E8" w14:textId="77777777" w:rsidR="00285DC5" w:rsidRPr="00B0273F" w:rsidRDefault="00285DC5" w:rsidP="00E53254">
            <w:pPr>
              <w:rPr>
                <w:sz w:val="18"/>
                <w:szCs w:val="18"/>
                <w:lang w:val="en-GB"/>
              </w:rPr>
            </w:pPr>
            <w:proofErr w:type="gramStart"/>
            <w:r w:rsidRPr="00B0273F">
              <w:rPr>
                <w:sz w:val="18"/>
                <w:szCs w:val="18"/>
                <w:lang w:val="en-GB"/>
              </w:rPr>
              <w:t>Code(</w:t>
            </w:r>
            <w:proofErr w:type="gramEnd"/>
            <w:r w:rsidRPr="00B0273F">
              <w:rPr>
                <w:sz w:val="18"/>
                <w:szCs w:val="18"/>
                <w:vertAlign w:val="superscript"/>
                <w:lang w:val="en-GB"/>
              </w:rPr>
              <w:t>2</w:t>
            </w:r>
            <w:r w:rsidRPr="00B0273F">
              <w:rPr>
                <w:sz w:val="18"/>
                <w:szCs w:val="18"/>
                <w:lang w:val="en-GB"/>
              </w:rPr>
              <w:t>)</w:t>
            </w:r>
          </w:p>
          <w:p w14:paraId="4AE7B329" w14:textId="77777777" w:rsidR="00285DC5" w:rsidRPr="00B0273F" w:rsidRDefault="00285DC5" w:rsidP="00E53254">
            <w:pPr>
              <w:rPr>
                <w:sz w:val="18"/>
                <w:szCs w:val="18"/>
                <w:lang w:val="en-GB"/>
              </w:rPr>
            </w:pPr>
          </w:p>
        </w:tc>
        <w:tc>
          <w:tcPr>
            <w:tcW w:w="1269" w:type="dxa"/>
          </w:tcPr>
          <w:p w14:paraId="35D1097B" w14:textId="77777777" w:rsidR="00285DC5" w:rsidRPr="00B0273F" w:rsidRDefault="00285DC5" w:rsidP="00E53254">
            <w:pPr>
              <w:rPr>
                <w:sz w:val="18"/>
                <w:szCs w:val="18"/>
                <w:lang w:val="en-GB"/>
              </w:rPr>
            </w:pPr>
            <w:r w:rsidRPr="00B0273F">
              <w:rPr>
                <w:sz w:val="18"/>
                <w:szCs w:val="18"/>
                <w:lang w:val="en-GB"/>
              </w:rPr>
              <w:t>Description</w:t>
            </w:r>
          </w:p>
          <w:p w14:paraId="2F658881" w14:textId="77777777" w:rsidR="00285DC5" w:rsidRPr="00B0273F" w:rsidRDefault="00285DC5" w:rsidP="00E53254">
            <w:pPr>
              <w:rPr>
                <w:sz w:val="18"/>
                <w:szCs w:val="18"/>
                <w:lang w:val="en-GB"/>
              </w:rPr>
            </w:pPr>
          </w:p>
        </w:tc>
        <w:tc>
          <w:tcPr>
            <w:tcW w:w="1415" w:type="dxa"/>
          </w:tcPr>
          <w:p w14:paraId="65328804" w14:textId="77777777" w:rsidR="00285DC5" w:rsidRPr="00B0273F" w:rsidRDefault="00285DC5" w:rsidP="00E53254">
            <w:pPr>
              <w:rPr>
                <w:sz w:val="18"/>
                <w:szCs w:val="18"/>
                <w:lang w:val="en-GB"/>
              </w:rPr>
            </w:pPr>
          </w:p>
        </w:tc>
        <w:tc>
          <w:tcPr>
            <w:tcW w:w="1155" w:type="dxa"/>
          </w:tcPr>
          <w:p w14:paraId="5E98E269" w14:textId="77777777" w:rsidR="00285DC5" w:rsidRPr="00B0273F" w:rsidRDefault="00285DC5" w:rsidP="00E53254">
            <w:pPr>
              <w:rPr>
                <w:sz w:val="18"/>
                <w:szCs w:val="18"/>
                <w:lang w:val="en-GB"/>
              </w:rPr>
            </w:pPr>
          </w:p>
        </w:tc>
        <w:tc>
          <w:tcPr>
            <w:tcW w:w="1123" w:type="dxa"/>
          </w:tcPr>
          <w:p w14:paraId="2A32B1A2" w14:textId="77777777" w:rsidR="00285DC5" w:rsidRPr="00B0273F" w:rsidRDefault="00285DC5" w:rsidP="00E53254">
            <w:pPr>
              <w:rPr>
                <w:sz w:val="18"/>
                <w:szCs w:val="18"/>
                <w:lang w:val="en-GB"/>
              </w:rPr>
            </w:pPr>
          </w:p>
        </w:tc>
      </w:tr>
      <w:tr w:rsidR="00160920" w:rsidRPr="00B0273F" w14:paraId="44E8968B" w14:textId="77777777" w:rsidTr="00734468">
        <w:tc>
          <w:tcPr>
            <w:tcW w:w="1155" w:type="dxa"/>
          </w:tcPr>
          <w:p w14:paraId="169EDF55" w14:textId="77777777" w:rsidR="00285DC5" w:rsidRPr="00B0273F" w:rsidRDefault="00285DC5" w:rsidP="005070B9">
            <w:pPr>
              <w:rPr>
                <w:rFonts w:cstheme="minorHAnsi"/>
                <w:sz w:val="18"/>
                <w:szCs w:val="18"/>
                <w:lang w:val="en-GB"/>
              </w:rPr>
            </w:pPr>
            <w:r w:rsidRPr="00B0273F">
              <w:rPr>
                <w:rFonts w:cstheme="minorHAnsi"/>
                <w:iCs/>
                <w:sz w:val="18"/>
                <w:szCs w:val="18"/>
                <w:lang w:val="en-GB"/>
              </w:rPr>
              <w:t>3. Cooperating border region</w:t>
            </w:r>
          </w:p>
        </w:tc>
        <w:tc>
          <w:tcPr>
            <w:tcW w:w="617" w:type="dxa"/>
          </w:tcPr>
          <w:p w14:paraId="67EA700E" w14:textId="77777777" w:rsidR="00285DC5" w:rsidRPr="00B0273F" w:rsidRDefault="00285DC5" w:rsidP="005070B9">
            <w:pPr>
              <w:rPr>
                <w:sz w:val="18"/>
                <w:szCs w:val="18"/>
                <w:lang w:val="en-GB"/>
              </w:rPr>
            </w:pPr>
            <w:r w:rsidRPr="00B0273F">
              <w:rPr>
                <w:sz w:val="18"/>
                <w:szCs w:val="18"/>
                <w:lang w:val="en-GB"/>
              </w:rPr>
              <w:t>ERDF</w:t>
            </w:r>
          </w:p>
        </w:tc>
        <w:tc>
          <w:tcPr>
            <w:tcW w:w="922" w:type="dxa"/>
          </w:tcPr>
          <w:p w14:paraId="67DE1B22" w14:textId="7FFBD980" w:rsidR="00285DC5" w:rsidRPr="00B0273F" w:rsidRDefault="00285DC5" w:rsidP="00271C3A">
            <w:pPr>
              <w:rPr>
                <w:sz w:val="18"/>
                <w:szCs w:val="18"/>
                <w:lang w:val="en-GB"/>
              </w:rPr>
            </w:pPr>
            <w:r w:rsidRPr="00B0273F">
              <w:rPr>
                <w:sz w:val="18"/>
                <w:szCs w:val="18"/>
                <w:lang w:val="en-GB"/>
              </w:rPr>
              <w:t>ISO6.3</w:t>
            </w:r>
          </w:p>
        </w:tc>
        <w:tc>
          <w:tcPr>
            <w:tcW w:w="1066" w:type="dxa"/>
          </w:tcPr>
          <w:p w14:paraId="32572C4A" w14:textId="1CF7B8CC" w:rsidR="00285DC5" w:rsidRPr="00B0273F" w:rsidDel="00D352E0" w:rsidRDefault="00734468" w:rsidP="005070B9">
            <w:pPr>
              <w:rPr>
                <w:sz w:val="18"/>
                <w:szCs w:val="18"/>
                <w:lang w:val="en-GB"/>
              </w:rPr>
            </w:pPr>
            <w:r w:rsidRPr="00734468">
              <w:rPr>
                <w:sz w:val="18"/>
                <w:szCs w:val="18"/>
                <w:lang w:val="en-GB"/>
              </w:rPr>
              <w:t>33. Other approaches – No territorial targeting</w:t>
            </w:r>
          </w:p>
        </w:tc>
        <w:tc>
          <w:tcPr>
            <w:tcW w:w="2517" w:type="dxa"/>
          </w:tcPr>
          <w:p w14:paraId="4EC3CB75" w14:textId="2A13B616" w:rsidR="00285DC5" w:rsidRPr="00B0273F" w:rsidRDefault="006304BA" w:rsidP="005070B9">
            <w:pPr>
              <w:rPr>
                <w:sz w:val="18"/>
                <w:szCs w:val="18"/>
                <w:lang w:val="en-GB"/>
              </w:rPr>
            </w:pPr>
            <w:r>
              <w:rPr>
                <w:sz w:val="18"/>
                <w:szCs w:val="18"/>
                <w:lang w:val="en-GB"/>
              </w:rPr>
              <w:t>8,51</w:t>
            </w:r>
          </w:p>
        </w:tc>
        <w:tc>
          <w:tcPr>
            <w:tcW w:w="790" w:type="dxa"/>
          </w:tcPr>
          <w:p w14:paraId="486114C1" w14:textId="3CA24BBC" w:rsidR="00285DC5" w:rsidRPr="00B0273F" w:rsidRDefault="00285DC5" w:rsidP="005070B9">
            <w:pPr>
              <w:rPr>
                <w:sz w:val="18"/>
                <w:szCs w:val="18"/>
                <w:lang w:val="en-GB"/>
              </w:rPr>
            </w:pPr>
            <w:r w:rsidRPr="00B0273F">
              <w:rPr>
                <w:sz w:val="18"/>
                <w:szCs w:val="18"/>
                <w:lang w:val="en-GB"/>
              </w:rPr>
              <w:t>171</w:t>
            </w:r>
          </w:p>
        </w:tc>
        <w:tc>
          <w:tcPr>
            <w:tcW w:w="1176" w:type="dxa"/>
          </w:tcPr>
          <w:p w14:paraId="4F66145E" w14:textId="6C380AB9" w:rsidR="00285DC5" w:rsidRPr="00B0273F" w:rsidRDefault="00285DC5" w:rsidP="005070B9">
            <w:pPr>
              <w:rPr>
                <w:sz w:val="18"/>
                <w:szCs w:val="18"/>
                <w:lang w:val="en-GB"/>
              </w:rPr>
            </w:pPr>
            <w:r w:rsidRPr="00B0273F">
              <w:rPr>
                <w:sz w:val="18"/>
                <w:szCs w:val="18"/>
                <w:lang w:val="en-GB"/>
              </w:rPr>
              <w:t>Type I - Cooperation project based on unit costs</w:t>
            </w:r>
          </w:p>
        </w:tc>
        <w:tc>
          <w:tcPr>
            <w:tcW w:w="789" w:type="dxa"/>
          </w:tcPr>
          <w:p w14:paraId="1A283557" w14:textId="7D4E96B4" w:rsidR="00285DC5" w:rsidRPr="00B0273F" w:rsidRDefault="00285DC5" w:rsidP="00592090">
            <w:pPr>
              <w:rPr>
                <w:sz w:val="18"/>
                <w:szCs w:val="18"/>
                <w:lang w:val="en-GB"/>
              </w:rPr>
            </w:pPr>
            <w:r w:rsidRPr="00B0273F">
              <w:rPr>
                <w:sz w:val="18"/>
                <w:szCs w:val="18"/>
                <w:lang w:val="en-GB"/>
              </w:rPr>
              <w:t xml:space="preserve">RCO 115 </w:t>
            </w:r>
          </w:p>
        </w:tc>
        <w:tc>
          <w:tcPr>
            <w:tcW w:w="1269" w:type="dxa"/>
          </w:tcPr>
          <w:p w14:paraId="13930042" w14:textId="65D6887A" w:rsidR="00285DC5" w:rsidRPr="00B0273F" w:rsidRDefault="00285DC5" w:rsidP="005070B9">
            <w:pPr>
              <w:rPr>
                <w:sz w:val="18"/>
                <w:szCs w:val="18"/>
                <w:lang w:val="en-GB"/>
              </w:rPr>
            </w:pPr>
            <w:r w:rsidRPr="00B0273F">
              <w:rPr>
                <w:sz w:val="18"/>
                <w:szCs w:val="18"/>
                <w:lang w:val="en-GB"/>
              </w:rPr>
              <w:t>Public events across borders jointly organised</w:t>
            </w:r>
          </w:p>
        </w:tc>
        <w:tc>
          <w:tcPr>
            <w:tcW w:w="1415" w:type="dxa"/>
          </w:tcPr>
          <w:p w14:paraId="097D998E" w14:textId="77777777" w:rsidR="00285DC5" w:rsidRPr="00B0273F" w:rsidRDefault="00285DC5" w:rsidP="005070B9">
            <w:pPr>
              <w:rPr>
                <w:sz w:val="18"/>
                <w:szCs w:val="18"/>
                <w:lang w:val="en-GB"/>
              </w:rPr>
            </w:pPr>
            <w:r w:rsidRPr="00B0273F">
              <w:rPr>
                <w:sz w:val="18"/>
                <w:szCs w:val="18"/>
                <w:lang w:val="en-GB"/>
              </w:rPr>
              <w:t>participant</w:t>
            </w:r>
          </w:p>
        </w:tc>
        <w:tc>
          <w:tcPr>
            <w:tcW w:w="1155" w:type="dxa"/>
          </w:tcPr>
          <w:p w14:paraId="32788B31" w14:textId="77777777" w:rsidR="00285DC5" w:rsidRPr="00B0273F" w:rsidRDefault="00285DC5" w:rsidP="005070B9">
            <w:pPr>
              <w:rPr>
                <w:sz w:val="18"/>
                <w:szCs w:val="18"/>
                <w:lang w:val="en-GB"/>
              </w:rPr>
            </w:pPr>
            <w:r w:rsidRPr="00B0273F">
              <w:rPr>
                <w:sz w:val="18"/>
                <w:szCs w:val="18"/>
                <w:lang w:val="en-GB"/>
              </w:rPr>
              <w:t>Unit cost –participants at event</w:t>
            </w:r>
          </w:p>
        </w:tc>
        <w:tc>
          <w:tcPr>
            <w:tcW w:w="1123" w:type="dxa"/>
          </w:tcPr>
          <w:p w14:paraId="5580AFE4" w14:textId="722B2552" w:rsidR="00285DC5" w:rsidRPr="00B0273F" w:rsidRDefault="00285DC5" w:rsidP="005070B9">
            <w:pPr>
              <w:rPr>
                <w:color w:val="FF0000"/>
                <w:sz w:val="18"/>
                <w:szCs w:val="18"/>
                <w:lang w:val="en-GB"/>
              </w:rPr>
            </w:pPr>
            <w:r w:rsidRPr="00B0273F">
              <w:rPr>
                <w:sz w:val="18"/>
                <w:szCs w:val="18"/>
                <w:lang w:val="en-GB"/>
              </w:rPr>
              <w:t>125,00 EUR</w:t>
            </w:r>
          </w:p>
        </w:tc>
      </w:tr>
      <w:tr w:rsidR="00160920" w:rsidRPr="00B0273F" w14:paraId="3F380F5F" w14:textId="77777777" w:rsidTr="00734468">
        <w:tc>
          <w:tcPr>
            <w:tcW w:w="1155" w:type="dxa"/>
          </w:tcPr>
          <w:p w14:paraId="29E42EBC" w14:textId="77777777" w:rsidR="00734468" w:rsidRPr="00B0273F" w:rsidRDefault="00734468" w:rsidP="00734468">
            <w:pPr>
              <w:rPr>
                <w:rFonts w:cstheme="minorHAnsi"/>
                <w:sz w:val="18"/>
                <w:szCs w:val="18"/>
                <w:lang w:val="en-GB"/>
              </w:rPr>
            </w:pPr>
            <w:r w:rsidRPr="00B0273F">
              <w:rPr>
                <w:rFonts w:cstheme="minorHAnsi"/>
                <w:iCs/>
                <w:sz w:val="18"/>
                <w:szCs w:val="18"/>
                <w:lang w:val="en-GB"/>
              </w:rPr>
              <w:t>3. Cooperating border region</w:t>
            </w:r>
          </w:p>
        </w:tc>
        <w:tc>
          <w:tcPr>
            <w:tcW w:w="617" w:type="dxa"/>
          </w:tcPr>
          <w:p w14:paraId="31E1ACC7" w14:textId="77777777" w:rsidR="00734468" w:rsidRPr="00B0273F" w:rsidRDefault="00734468" w:rsidP="00734468">
            <w:pPr>
              <w:rPr>
                <w:sz w:val="18"/>
                <w:szCs w:val="18"/>
                <w:lang w:val="en-GB"/>
              </w:rPr>
            </w:pPr>
            <w:r w:rsidRPr="00B0273F">
              <w:rPr>
                <w:sz w:val="18"/>
                <w:szCs w:val="18"/>
                <w:lang w:val="en-GB"/>
              </w:rPr>
              <w:t>ERDF</w:t>
            </w:r>
          </w:p>
        </w:tc>
        <w:tc>
          <w:tcPr>
            <w:tcW w:w="922" w:type="dxa"/>
          </w:tcPr>
          <w:p w14:paraId="66B14FC4" w14:textId="0B6DB48B" w:rsidR="00734468" w:rsidRPr="00B0273F" w:rsidRDefault="00734468" w:rsidP="00271C3A">
            <w:pPr>
              <w:rPr>
                <w:sz w:val="18"/>
                <w:szCs w:val="18"/>
                <w:lang w:val="en-GB"/>
              </w:rPr>
            </w:pPr>
            <w:r w:rsidRPr="00B0273F">
              <w:rPr>
                <w:sz w:val="18"/>
                <w:szCs w:val="18"/>
                <w:lang w:val="en-GB"/>
              </w:rPr>
              <w:t>ISO 6.3</w:t>
            </w:r>
          </w:p>
        </w:tc>
        <w:tc>
          <w:tcPr>
            <w:tcW w:w="1066" w:type="dxa"/>
          </w:tcPr>
          <w:p w14:paraId="36BBA321" w14:textId="33C7639E" w:rsidR="00734468" w:rsidRPr="00B0273F" w:rsidDel="00D352E0" w:rsidRDefault="00734468" w:rsidP="00734468">
            <w:pPr>
              <w:rPr>
                <w:sz w:val="18"/>
                <w:szCs w:val="18"/>
                <w:lang w:val="en-GB"/>
              </w:rPr>
            </w:pPr>
            <w:r w:rsidRPr="00734468">
              <w:rPr>
                <w:sz w:val="18"/>
                <w:szCs w:val="18"/>
                <w:lang w:val="en-GB"/>
              </w:rPr>
              <w:t>33. Other approaches – No territorial targeting</w:t>
            </w:r>
          </w:p>
        </w:tc>
        <w:tc>
          <w:tcPr>
            <w:tcW w:w="2517" w:type="dxa"/>
          </w:tcPr>
          <w:p w14:paraId="3B4E06B8" w14:textId="3AEB8430" w:rsidR="00734468" w:rsidRPr="00B0273F" w:rsidRDefault="006304BA" w:rsidP="00734468">
            <w:pPr>
              <w:rPr>
                <w:sz w:val="18"/>
                <w:szCs w:val="18"/>
                <w:lang w:val="en-GB"/>
              </w:rPr>
            </w:pPr>
            <w:r>
              <w:rPr>
                <w:sz w:val="18"/>
                <w:szCs w:val="18"/>
                <w:lang w:val="en-GB"/>
              </w:rPr>
              <w:t>5,91</w:t>
            </w:r>
          </w:p>
        </w:tc>
        <w:tc>
          <w:tcPr>
            <w:tcW w:w="790" w:type="dxa"/>
          </w:tcPr>
          <w:p w14:paraId="3B6485A1" w14:textId="770FC7BD" w:rsidR="00734468" w:rsidRPr="00B0273F" w:rsidRDefault="00734468" w:rsidP="00734468">
            <w:pPr>
              <w:rPr>
                <w:sz w:val="18"/>
                <w:szCs w:val="18"/>
                <w:lang w:val="en-GB"/>
              </w:rPr>
            </w:pPr>
            <w:r w:rsidRPr="00B0273F">
              <w:rPr>
                <w:sz w:val="18"/>
                <w:szCs w:val="18"/>
                <w:lang w:val="en-GB"/>
              </w:rPr>
              <w:t>171</w:t>
            </w:r>
          </w:p>
        </w:tc>
        <w:tc>
          <w:tcPr>
            <w:tcW w:w="1176" w:type="dxa"/>
          </w:tcPr>
          <w:p w14:paraId="1A674197" w14:textId="73081027" w:rsidR="00734468" w:rsidRPr="00B0273F" w:rsidRDefault="00734468" w:rsidP="00734468">
            <w:pPr>
              <w:rPr>
                <w:sz w:val="18"/>
                <w:szCs w:val="18"/>
                <w:lang w:val="en-GB"/>
              </w:rPr>
            </w:pPr>
            <w:r w:rsidRPr="00B0273F">
              <w:rPr>
                <w:sz w:val="18"/>
                <w:szCs w:val="18"/>
                <w:lang w:val="en-GB"/>
              </w:rPr>
              <w:t>Type II – Mutual trust building projects based on lump sum</w:t>
            </w:r>
          </w:p>
        </w:tc>
        <w:tc>
          <w:tcPr>
            <w:tcW w:w="789" w:type="dxa"/>
          </w:tcPr>
          <w:p w14:paraId="064BF801" w14:textId="1957AD2B" w:rsidR="00734468" w:rsidRPr="00B0273F" w:rsidRDefault="00734468" w:rsidP="00734468">
            <w:pPr>
              <w:rPr>
                <w:sz w:val="18"/>
                <w:szCs w:val="18"/>
                <w:lang w:val="en-GB"/>
              </w:rPr>
            </w:pPr>
            <w:r w:rsidRPr="00B0273F">
              <w:rPr>
                <w:sz w:val="18"/>
                <w:szCs w:val="18"/>
                <w:lang w:val="en-GB"/>
              </w:rPr>
              <w:t>RCO 115</w:t>
            </w:r>
          </w:p>
        </w:tc>
        <w:tc>
          <w:tcPr>
            <w:tcW w:w="1269" w:type="dxa"/>
          </w:tcPr>
          <w:p w14:paraId="2B75F00B" w14:textId="6D95480F" w:rsidR="00734468" w:rsidRPr="00B0273F" w:rsidRDefault="00734468" w:rsidP="00734468">
            <w:pPr>
              <w:rPr>
                <w:sz w:val="18"/>
                <w:szCs w:val="18"/>
                <w:highlight w:val="yellow"/>
                <w:lang w:val="en-GB"/>
              </w:rPr>
            </w:pPr>
            <w:r w:rsidRPr="00B0273F">
              <w:rPr>
                <w:sz w:val="18"/>
                <w:szCs w:val="18"/>
                <w:lang w:val="en-GB"/>
              </w:rPr>
              <w:t>Public events across borders jointly organised</w:t>
            </w:r>
          </w:p>
        </w:tc>
        <w:tc>
          <w:tcPr>
            <w:tcW w:w="1415" w:type="dxa"/>
          </w:tcPr>
          <w:p w14:paraId="668699E1" w14:textId="77777777" w:rsidR="00734468" w:rsidRPr="00B0273F" w:rsidRDefault="00734468" w:rsidP="00734468">
            <w:pPr>
              <w:rPr>
                <w:sz w:val="18"/>
                <w:szCs w:val="18"/>
                <w:lang w:val="en-GB"/>
              </w:rPr>
            </w:pPr>
            <w:r w:rsidRPr="00B0273F">
              <w:rPr>
                <w:sz w:val="18"/>
                <w:szCs w:val="18"/>
                <w:lang w:val="en-GB"/>
              </w:rPr>
              <w:t>event</w:t>
            </w:r>
          </w:p>
        </w:tc>
        <w:tc>
          <w:tcPr>
            <w:tcW w:w="1155" w:type="dxa"/>
          </w:tcPr>
          <w:p w14:paraId="54CA3C4E" w14:textId="77777777" w:rsidR="00734468" w:rsidRPr="00B0273F" w:rsidRDefault="00734468" w:rsidP="00734468">
            <w:pPr>
              <w:rPr>
                <w:sz w:val="18"/>
                <w:szCs w:val="18"/>
                <w:lang w:val="en-GB"/>
              </w:rPr>
            </w:pPr>
            <w:r w:rsidRPr="00B0273F">
              <w:rPr>
                <w:sz w:val="18"/>
                <w:szCs w:val="18"/>
                <w:lang w:val="en-GB"/>
              </w:rPr>
              <w:t>Lump sum - 2 events</w:t>
            </w:r>
          </w:p>
        </w:tc>
        <w:tc>
          <w:tcPr>
            <w:tcW w:w="1123" w:type="dxa"/>
          </w:tcPr>
          <w:p w14:paraId="6D7867EE" w14:textId="2627BEAE" w:rsidR="00734468" w:rsidRPr="00B0273F" w:rsidRDefault="00160920" w:rsidP="00160920">
            <w:pPr>
              <w:rPr>
                <w:sz w:val="18"/>
                <w:szCs w:val="18"/>
                <w:lang w:val="en-GB"/>
              </w:rPr>
            </w:pPr>
            <w:r>
              <w:rPr>
                <w:sz w:val="18"/>
                <w:szCs w:val="18"/>
                <w:lang w:val="en-GB"/>
              </w:rPr>
              <w:t>31.250</w:t>
            </w:r>
            <w:r w:rsidR="00734468" w:rsidRPr="00B0273F">
              <w:rPr>
                <w:sz w:val="18"/>
                <w:szCs w:val="18"/>
                <w:lang w:val="en-GB"/>
              </w:rPr>
              <w:t>,00 EUR</w:t>
            </w:r>
          </w:p>
        </w:tc>
      </w:tr>
      <w:tr w:rsidR="00160920" w:rsidRPr="00B0273F" w14:paraId="04298389" w14:textId="77777777" w:rsidTr="00734468">
        <w:tc>
          <w:tcPr>
            <w:tcW w:w="1155" w:type="dxa"/>
          </w:tcPr>
          <w:p w14:paraId="64B2775E" w14:textId="77777777" w:rsidR="00734468" w:rsidRPr="00B0273F" w:rsidRDefault="00734468" w:rsidP="00734468">
            <w:pPr>
              <w:rPr>
                <w:rFonts w:cstheme="minorHAnsi"/>
                <w:sz w:val="18"/>
                <w:szCs w:val="18"/>
                <w:lang w:val="en-GB"/>
              </w:rPr>
            </w:pPr>
            <w:r w:rsidRPr="00B0273F">
              <w:rPr>
                <w:rFonts w:cstheme="minorHAnsi"/>
                <w:iCs/>
                <w:sz w:val="18"/>
                <w:szCs w:val="18"/>
                <w:lang w:val="en-GB"/>
              </w:rPr>
              <w:t>3. Cooperating border region</w:t>
            </w:r>
          </w:p>
        </w:tc>
        <w:tc>
          <w:tcPr>
            <w:tcW w:w="617" w:type="dxa"/>
          </w:tcPr>
          <w:p w14:paraId="2D9A3268" w14:textId="77777777" w:rsidR="00734468" w:rsidRPr="00B0273F" w:rsidRDefault="00734468" w:rsidP="00734468">
            <w:pPr>
              <w:rPr>
                <w:sz w:val="18"/>
                <w:szCs w:val="18"/>
                <w:lang w:val="en-GB"/>
              </w:rPr>
            </w:pPr>
            <w:r w:rsidRPr="00B0273F">
              <w:rPr>
                <w:sz w:val="18"/>
                <w:szCs w:val="18"/>
                <w:lang w:val="en-GB"/>
              </w:rPr>
              <w:t>ERDF</w:t>
            </w:r>
          </w:p>
        </w:tc>
        <w:tc>
          <w:tcPr>
            <w:tcW w:w="922" w:type="dxa"/>
          </w:tcPr>
          <w:p w14:paraId="1E9B09B2" w14:textId="7438B5E9" w:rsidR="00734468" w:rsidRPr="00B0273F" w:rsidRDefault="00734468" w:rsidP="00271C3A">
            <w:pPr>
              <w:rPr>
                <w:sz w:val="18"/>
                <w:szCs w:val="18"/>
                <w:lang w:val="en-GB"/>
              </w:rPr>
            </w:pPr>
            <w:r w:rsidRPr="00B0273F">
              <w:rPr>
                <w:sz w:val="18"/>
                <w:szCs w:val="18"/>
                <w:lang w:val="en-GB"/>
              </w:rPr>
              <w:t>ISO6.3</w:t>
            </w:r>
          </w:p>
        </w:tc>
        <w:tc>
          <w:tcPr>
            <w:tcW w:w="1066" w:type="dxa"/>
          </w:tcPr>
          <w:p w14:paraId="31B47918" w14:textId="4AD226B3" w:rsidR="00734468" w:rsidRPr="00B0273F" w:rsidDel="00D352E0" w:rsidRDefault="00734468" w:rsidP="00734468">
            <w:pPr>
              <w:rPr>
                <w:sz w:val="18"/>
                <w:szCs w:val="18"/>
                <w:lang w:val="en-GB"/>
              </w:rPr>
            </w:pPr>
            <w:r w:rsidRPr="00734468">
              <w:rPr>
                <w:sz w:val="18"/>
                <w:szCs w:val="18"/>
                <w:lang w:val="en-GB"/>
              </w:rPr>
              <w:t>33. Other approaches – No territorial targeting</w:t>
            </w:r>
          </w:p>
        </w:tc>
        <w:tc>
          <w:tcPr>
            <w:tcW w:w="2517" w:type="dxa"/>
          </w:tcPr>
          <w:p w14:paraId="3CCFBE9E" w14:textId="1124BE35" w:rsidR="00734468" w:rsidRPr="00B0273F" w:rsidRDefault="006304BA" w:rsidP="00734468">
            <w:pPr>
              <w:rPr>
                <w:sz w:val="18"/>
                <w:szCs w:val="18"/>
                <w:lang w:val="en-GB"/>
              </w:rPr>
            </w:pPr>
            <w:r>
              <w:rPr>
                <w:sz w:val="18"/>
                <w:szCs w:val="18"/>
                <w:lang w:val="en-GB"/>
              </w:rPr>
              <w:t>2,36</w:t>
            </w:r>
          </w:p>
        </w:tc>
        <w:tc>
          <w:tcPr>
            <w:tcW w:w="790" w:type="dxa"/>
          </w:tcPr>
          <w:p w14:paraId="08D07BC8" w14:textId="124347B2" w:rsidR="00734468" w:rsidRPr="00B0273F" w:rsidRDefault="00734468" w:rsidP="00734468">
            <w:pPr>
              <w:rPr>
                <w:sz w:val="18"/>
                <w:szCs w:val="18"/>
                <w:lang w:val="en-GB"/>
              </w:rPr>
            </w:pPr>
            <w:r w:rsidRPr="00B0273F">
              <w:rPr>
                <w:sz w:val="18"/>
                <w:szCs w:val="18"/>
              </w:rPr>
              <w:t>171</w:t>
            </w:r>
          </w:p>
        </w:tc>
        <w:tc>
          <w:tcPr>
            <w:tcW w:w="1176" w:type="dxa"/>
          </w:tcPr>
          <w:p w14:paraId="41296CF7" w14:textId="44938B12" w:rsidR="00734468" w:rsidRPr="00B0273F" w:rsidRDefault="00734468" w:rsidP="00734468">
            <w:pPr>
              <w:rPr>
                <w:sz w:val="18"/>
                <w:szCs w:val="18"/>
                <w:lang w:val="en-GB"/>
              </w:rPr>
            </w:pPr>
            <w:r w:rsidRPr="00B0273F">
              <w:rPr>
                <w:sz w:val="18"/>
                <w:szCs w:val="18"/>
                <w:lang w:val="en-GB"/>
              </w:rPr>
              <w:t>Type III – Employee exchange projects based on lump sum</w:t>
            </w:r>
          </w:p>
        </w:tc>
        <w:tc>
          <w:tcPr>
            <w:tcW w:w="789" w:type="dxa"/>
          </w:tcPr>
          <w:p w14:paraId="6D461A3E" w14:textId="539B1B18" w:rsidR="00734468" w:rsidRPr="00B0273F" w:rsidRDefault="00734468" w:rsidP="00734468">
            <w:pPr>
              <w:rPr>
                <w:sz w:val="18"/>
                <w:szCs w:val="18"/>
                <w:lang w:val="en-GB"/>
              </w:rPr>
            </w:pPr>
            <w:r w:rsidRPr="00B0273F">
              <w:rPr>
                <w:sz w:val="18"/>
                <w:szCs w:val="18"/>
              </w:rPr>
              <w:t>RCO 87</w:t>
            </w:r>
          </w:p>
        </w:tc>
        <w:tc>
          <w:tcPr>
            <w:tcW w:w="1269" w:type="dxa"/>
          </w:tcPr>
          <w:p w14:paraId="3569A68C" w14:textId="1F03FE69" w:rsidR="00734468" w:rsidRPr="00B0273F" w:rsidRDefault="00734468" w:rsidP="00734468">
            <w:pPr>
              <w:rPr>
                <w:sz w:val="18"/>
                <w:szCs w:val="18"/>
                <w:highlight w:val="yellow"/>
                <w:lang w:val="en-GB"/>
              </w:rPr>
            </w:pPr>
            <w:proofErr w:type="spellStart"/>
            <w:r w:rsidRPr="00B0273F">
              <w:rPr>
                <w:sz w:val="18"/>
                <w:szCs w:val="18"/>
              </w:rPr>
              <w:t>Organisations</w:t>
            </w:r>
            <w:proofErr w:type="spellEnd"/>
            <w:r w:rsidRPr="00B0273F">
              <w:rPr>
                <w:sz w:val="18"/>
                <w:szCs w:val="18"/>
              </w:rPr>
              <w:t xml:space="preserve"> </w:t>
            </w:r>
            <w:proofErr w:type="spellStart"/>
            <w:r w:rsidRPr="00B0273F">
              <w:rPr>
                <w:sz w:val="18"/>
                <w:szCs w:val="18"/>
              </w:rPr>
              <w:t>cooperating</w:t>
            </w:r>
            <w:proofErr w:type="spellEnd"/>
            <w:r w:rsidRPr="00B0273F">
              <w:rPr>
                <w:sz w:val="18"/>
                <w:szCs w:val="18"/>
              </w:rPr>
              <w:t xml:space="preserve"> </w:t>
            </w:r>
            <w:proofErr w:type="spellStart"/>
            <w:r w:rsidRPr="00B0273F">
              <w:rPr>
                <w:sz w:val="18"/>
                <w:szCs w:val="18"/>
              </w:rPr>
              <w:t>across</w:t>
            </w:r>
            <w:proofErr w:type="spellEnd"/>
            <w:r w:rsidRPr="00B0273F">
              <w:rPr>
                <w:sz w:val="18"/>
                <w:szCs w:val="18"/>
              </w:rPr>
              <w:t xml:space="preserve"> </w:t>
            </w:r>
            <w:proofErr w:type="spellStart"/>
            <w:r w:rsidRPr="00B0273F">
              <w:rPr>
                <w:sz w:val="18"/>
                <w:szCs w:val="18"/>
              </w:rPr>
              <w:t>borders</w:t>
            </w:r>
            <w:proofErr w:type="spellEnd"/>
          </w:p>
        </w:tc>
        <w:tc>
          <w:tcPr>
            <w:tcW w:w="1415" w:type="dxa"/>
          </w:tcPr>
          <w:p w14:paraId="31272399" w14:textId="77777777" w:rsidR="00734468" w:rsidRPr="00B0273F" w:rsidRDefault="00734468" w:rsidP="00734468">
            <w:pPr>
              <w:rPr>
                <w:sz w:val="18"/>
                <w:szCs w:val="18"/>
                <w:lang w:val="en-GB"/>
              </w:rPr>
            </w:pPr>
            <w:r w:rsidRPr="00B0273F">
              <w:rPr>
                <w:sz w:val="18"/>
                <w:szCs w:val="18"/>
                <w:lang w:val="en-GB"/>
              </w:rPr>
              <w:t>project</w:t>
            </w:r>
          </w:p>
        </w:tc>
        <w:tc>
          <w:tcPr>
            <w:tcW w:w="1155" w:type="dxa"/>
          </w:tcPr>
          <w:p w14:paraId="458D7D26" w14:textId="7C156CFA" w:rsidR="00734468" w:rsidRPr="00B0273F" w:rsidRDefault="00734468" w:rsidP="00734468">
            <w:pPr>
              <w:rPr>
                <w:sz w:val="18"/>
                <w:szCs w:val="18"/>
                <w:lang w:val="en-GB"/>
              </w:rPr>
            </w:pPr>
            <w:r w:rsidRPr="00B0273F">
              <w:rPr>
                <w:sz w:val="18"/>
                <w:szCs w:val="18"/>
                <w:lang w:val="en-GB"/>
              </w:rPr>
              <w:t>Lump sum – 1 year exchange</w:t>
            </w:r>
          </w:p>
        </w:tc>
        <w:tc>
          <w:tcPr>
            <w:tcW w:w="1123" w:type="dxa"/>
          </w:tcPr>
          <w:p w14:paraId="6006E91A" w14:textId="237EBC86" w:rsidR="00734468" w:rsidRPr="00B0273F" w:rsidRDefault="00160920" w:rsidP="00160920">
            <w:pPr>
              <w:rPr>
                <w:color w:val="FF0000"/>
                <w:sz w:val="18"/>
                <w:szCs w:val="18"/>
                <w:lang w:val="en-GB"/>
              </w:rPr>
            </w:pPr>
            <w:r>
              <w:rPr>
                <w:sz w:val="18"/>
                <w:szCs w:val="18"/>
                <w:lang w:val="en-GB"/>
              </w:rPr>
              <w:t>31.250</w:t>
            </w:r>
            <w:r w:rsidR="00734468" w:rsidRPr="00B0273F">
              <w:rPr>
                <w:sz w:val="18"/>
                <w:szCs w:val="18"/>
                <w:lang w:val="en-GB"/>
              </w:rPr>
              <w:t>,00 EUR</w:t>
            </w:r>
          </w:p>
        </w:tc>
      </w:tr>
      <w:tr w:rsidR="00734468" w:rsidRPr="00B0273F" w14:paraId="34CEDD95" w14:textId="77777777" w:rsidTr="00E96459">
        <w:tc>
          <w:tcPr>
            <w:tcW w:w="13994" w:type="dxa"/>
            <w:gridSpan w:val="12"/>
          </w:tcPr>
          <w:p w14:paraId="47A7C043" w14:textId="1AF7A26F" w:rsidR="00734468" w:rsidRPr="00B0273F" w:rsidRDefault="00734468" w:rsidP="00734468">
            <w:pPr>
              <w:rPr>
                <w:sz w:val="18"/>
                <w:szCs w:val="18"/>
                <w:lang w:val="en-GB"/>
              </w:rPr>
            </w:pPr>
            <w:r w:rsidRPr="00B0273F">
              <w:rPr>
                <w:sz w:val="18"/>
                <w:szCs w:val="18"/>
                <w:lang w:val="en-GB"/>
              </w:rPr>
              <w:lastRenderedPageBreak/>
              <w:t>(</w:t>
            </w:r>
            <w:r w:rsidRPr="00B0273F">
              <w:rPr>
                <w:sz w:val="18"/>
                <w:szCs w:val="18"/>
                <w:vertAlign w:val="superscript"/>
                <w:lang w:val="en-GB"/>
              </w:rPr>
              <w:t>1</w:t>
            </w:r>
            <w:r w:rsidRPr="00B0273F">
              <w:rPr>
                <w:sz w:val="18"/>
                <w:szCs w:val="18"/>
                <w:lang w:val="en-GB"/>
              </w:rPr>
              <w:t>) This refers to the code for the intervention field dimension in Table 1 of Annex I to the CPR and Annex IV to the EMFAF Regulation.</w:t>
            </w:r>
          </w:p>
          <w:p w14:paraId="0987AB9A" w14:textId="77777777" w:rsidR="00734468" w:rsidRPr="00B0273F" w:rsidRDefault="00734468" w:rsidP="00734468">
            <w:pPr>
              <w:rPr>
                <w:sz w:val="18"/>
                <w:szCs w:val="18"/>
                <w:lang w:val="en-GB"/>
              </w:rPr>
            </w:pPr>
            <w:r w:rsidRPr="00B0273F">
              <w:rPr>
                <w:sz w:val="18"/>
                <w:szCs w:val="18"/>
                <w:lang w:val="en-GB"/>
              </w:rPr>
              <w:t>(</w:t>
            </w:r>
            <w:r w:rsidRPr="00B0273F">
              <w:rPr>
                <w:sz w:val="18"/>
                <w:szCs w:val="18"/>
                <w:vertAlign w:val="superscript"/>
                <w:lang w:val="en-GB"/>
              </w:rPr>
              <w:t>2</w:t>
            </w:r>
            <w:r w:rsidRPr="00B0273F">
              <w:rPr>
                <w:sz w:val="18"/>
                <w:szCs w:val="18"/>
                <w:lang w:val="en-GB"/>
              </w:rPr>
              <w:t>) This refers to the code of a common indicator, if applicable.</w:t>
            </w:r>
          </w:p>
        </w:tc>
      </w:tr>
    </w:tbl>
    <w:p w14:paraId="7F175E2A" w14:textId="77777777" w:rsidR="00E53254" w:rsidRPr="00737DA5" w:rsidRDefault="00E53254" w:rsidP="00E53254">
      <w:pPr>
        <w:rPr>
          <w:lang w:val="en-GB"/>
        </w:rPr>
      </w:pPr>
      <w:r w:rsidRPr="00737DA5">
        <w:rPr>
          <w:lang w:val="en-GB"/>
        </w:rPr>
        <w:t xml:space="preserve"> </w:t>
      </w:r>
    </w:p>
    <w:p w14:paraId="3E846493" w14:textId="77777777" w:rsidR="00E53254" w:rsidRPr="00737DA5" w:rsidRDefault="00E53254" w:rsidP="00E53254">
      <w:pPr>
        <w:pStyle w:val="Odstavekseznama"/>
        <w:numPr>
          <w:ilvl w:val="0"/>
          <w:numId w:val="1"/>
        </w:numPr>
        <w:rPr>
          <w:b/>
          <w:lang w:val="en-GB"/>
        </w:rPr>
      </w:pPr>
      <w:r w:rsidRPr="00737DA5">
        <w:rPr>
          <w:b/>
          <w:lang w:val="en-GB"/>
        </w:rPr>
        <w:t>Details by type of operation (to be completed for every type of operation)</w:t>
      </w:r>
    </w:p>
    <w:p w14:paraId="781323DB" w14:textId="77777777" w:rsidR="00E53254" w:rsidRPr="00737DA5" w:rsidRDefault="00E53254" w:rsidP="00E53254">
      <w:pPr>
        <w:rPr>
          <w:lang w:val="en-GB"/>
        </w:rPr>
      </w:pPr>
      <w:r w:rsidRPr="00737DA5">
        <w:rPr>
          <w:lang w:val="en-GB"/>
        </w:rPr>
        <w:t>Did the managing authority receive support from an external company to set out the simplified costs below?</w:t>
      </w:r>
    </w:p>
    <w:tbl>
      <w:tblPr>
        <w:tblStyle w:val="Tabelamrea"/>
        <w:tblpPr w:leftFromText="141" w:rightFromText="141" w:vertAnchor="text" w:horzAnchor="page" w:tblpX="5926" w:tblpY="22"/>
        <w:tblW w:w="0" w:type="auto"/>
        <w:tblLook w:val="04A0" w:firstRow="1" w:lastRow="0" w:firstColumn="1" w:lastColumn="0" w:noHBand="0" w:noVBand="1"/>
      </w:tblPr>
      <w:tblGrid>
        <w:gridCol w:w="9493"/>
      </w:tblGrid>
      <w:tr w:rsidR="00B65532" w:rsidRPr="00737DA5" w14:paraId="4AAA2A12" w14:textId="77777777" w:rsidTr="007925EF">
        <w:tc>
          <w:tcPr>
            <w:tcW w:w="9493" w:type="dxa"/>
          </w:tcPr>
          <w:p w14:paraId="11537B34" w14:textId="77777777" w:rsidR="00B65532" w:rsidRPr="00737DA5" w:rsidRDefault="007925EF" w:rsidP="00B65532">
            <w:pPr>
              <w:rPr>
                <w:b/>
                <w:lang w:val="en-GB"/>
              </w:rPr>
            </w:pPr>
            <w:r w:rsidRPr="00737DA5">
              <w:rPr>
                <w:b/>
                <w:lang w:val="en-GB"/>
              </w:rPr>
              <w:t>No</w:t>
            </w:r>
          </w:p>
        </w:tc>
      </w:tr>
    </w:tbl>
    <w:p w14:paraId="7D1CC682" w14:textId="77777777" w:rsidR="00B65532" w:rsidRPr="00737DA5" w:rsidRDefault="00E53254" w:rsidP="00E53254">
      <w:pPr>
        <w:rPr>
          <w:lang w:val="en-GB"/>
        </w:rPr>
      </w:pPr>
      <w:r w:rsidRPr="00737DA5">
        <w:rPr>
          <w:lang w:val="en-GB"/>
        </w:rPr>
        <w:t>If so, please specify which external company:</w:t>
      </w:r>
    </w:p>
    <w:tbl>
      <w:tblPr>
        <w:tblStyle w:val="Tabelamrea"/>
        <w:tblW w:w="0" w:type="auto"/>
        <w:tblLook w:val="04A0" w:firstRow="1" w:lastRow="0" w:firstColumn="1" w:lastColumn="0" w:noHBand="0" w:noVBand="1"/>
      </w:tblPr>
      <w:tblGrid>
        <w:gridCol w:w="6997"/>
        <w:gridCol w:w="6997"/>
      </w:tblGrid>
      <w:tr w:rsidR="00B65532" w:rsidRPr="00737DA5" w14:paraId="39756058" w14:textId="77777777" w:rsidTr="00B65532">
        <w:tc>
          <w:tcPr>
            <w:tcW w:w="6997" w:type="dxa"/>
          </w:tcPr>
          <w:p w14:paraId="53F85E7D" w14:textId="77777777" w:rsidR="00B65532" w:rsidRPr="00737DA5" w:rsidRDefault="00B65532" w:rsidP="00B65532">
            <w:pPr>
              <w:rPr>
                <w:lang w:val="en-GB"/>
              </w:rPr>
            </w:pPr>
            <w:r w:rsidRPr="00737DA5">
              <w:rPr>
                <w:lang w:val="en-GB"/>
              </w:rPr>
              <w:t>1.1 Description of the operation type including the timeline for implementation(</w:t>
            </w:r>
            <w:r w:rsidRPr="00737DA5">
              <w:rPr>
                <w:vertAlign w:val="superscript"/>
                <w:lang w:val="en-GB"/>
              </w:rPr>
              <w:t>1</w:t>
            </w:r>
            <w:r w:rsidRPr="00737DA5">
              <w:rPr>
                <w:lang w:val="en-GB"/>
              </w:rPr>
              <w:t>)</w:t>
            </w:r>
          </w:p>
        </w:tc>
        <w:tc>
          <w:tcPr>
            <w:tcW w:w="6997" w:type="dxa"/>
          </w:tcPr>
          <w:p w14:paraId="41BF883B" w14:textId="104D396D" w:rsidR="0040235A" w:rsidRDefault="00014FF0" w:rsidP="00014FF0">
            <w:pPr>
              <w:jc w:val="both"/>
              <w:rPr>
                <w:rFonts w:cstheme="minorHAnsi"/>
                <w:lang w:val="en-GB"/>
              </w:rPr>
            </w:pPr>
            <w:r>
              <w:rPr>
                <w:rFonts w:cstheme="minorHAnsi"/>
                <w:lang w:val="en-GB"/>
              </w:rPr>
              <w:t xml:space="preserve">The calculated unit cost </w:t>
            </w:r>
            <w:r w:rsidR="0040235A">
              <w:rPr>
                <w:rFonts w:cstheme="minorHAnsi"/>
                <w:lang w:val="en-GB"/>
              </w:rPr>
              <w:t>will be applicable only for</w:t>
            </w:r>
            <w:r>
              <w:rPr>
                <w:rFonts w:cstheme="minorHAnsi"/>
                <w:lang w:val="en-GB"/>
              </w:rPr>
              <w:t xml:space="preserve"> small-scale projects, which are imple</w:t>
            </w:r>
            <w:r w:rsidR="009803A5">
              <w:rPr>
                <w:rFonts w:cstheme="minorHAnsi"/>
                <w:lang w:val="en-GB"/>
              </w:rPr>
              <w:t>mented exclusively under ISO1-SO 6.3</w:t>
            </w:r>
            <w:r>
              <w:rPr>
                <w:rFonts w:cstheme="minorHAnsi"/>
                <w:lang w:val="en-GB"/>
              </w:rPr>
              <w:t xml:space="preserve">. </w:t>
            </w:r>
            <w:r w:rsidR="007925EF" w:rsidRPr="00903A00">
              <w:rPr>
                <w:rFonts w:cstheme="minorHAnsi"/>
                <w:lang w:val="en-GB"/>
              </w:rPr>
              <w:t>Small-scale projects w</w:t>
            </w:r>
            <w:r>
              <w:rPr>
                <w:rFonts w:cstheme="minorHAnsi"/>
                <w:lang w:val="en-GB"/>
              </w:rPr>
              <w:t>ill</w:t>
            </w:r>
            <w:r w:rsidR="007925EF" w:rsidRPr="00903A00">
              <w:rPr>
                <w:rFonts w:cstheme="minorHAnsi"/>
                <w:lang w:val="en-GB"/>
              </w:rPr>
              <w:t xml:space="preserve"> be used to address the specific aim to enhance people-to-people activities. </w:t>
            </w:r>
          </w:p>
          <w:p w14:paraId="7A4DC596" w14:textId="3D9CC1B1" w:rsidR="00B65532" w:rsidRPr="00903A00" w:rsidRDefault="007925EF" w:rsidP="00014FF0">
            <w:pPr>
              <w:jc w:val="both"/>
              <w:rPr>
                <w:rFonts w:cstheme="minorHAnsi"/>
                <w:lang w:val="en-GB"/>
              </w:rPr>
            </w:pPr>
            <w:r w:rsidRPr="00903A00">
              <w:rPr>
                <w:rFonts w:cstheme="minorHAnsi"/>
                <w:lang w:val="en-GB"/>
              </w:rPr>
              <w:t>A separate call (</w:t>
            </w:r>
            <w:r w:rsidRPr="00903A00">
              <w:rPr>
                <w:rFonts w:cstheme="minorHAnsi"/>
                <w:i/>
                <w:lang w:val="en-GB"/>
              </w:rPr>
              <w:t>submission open for 4-5 months)</w:t>
            </w:r>
            <w:r w:rsidRPr="00903A00">
              <w:rPr>
                <w:rFonts w:cstheme="minorHAnsi"/>
                <w:lang w:val="en-GB"/>
              </w:rPr>
              <w:t xml:space="preserve"> could be launched </w:t>
            </w:r>
            <w:r w:rsidR="008F79EA" w:rsidRPr="00903A00">
              <w:rPr>
                <w:rFonts w:cstheme="minorHAnsi"/>
                <w:lang w:val="en-GB"/>
              </w:rPr>
              <w:t>at the end of 2022 or in the beginning of 2023</w:t>
            </w:r>
            <w:r w:rsidRPr="00903A00">
              <w:rPr>
                <w:rFonts w:cstheme="minorHAnsi"/>
                <w:lang w:val="en-GB"/>
              </w:rPr>
              <w:t>.</w:t>
            </w:r>
            <w:r w:rsidR="009F39DE" w:rsidRPr="00903A00">
              <w:rPr>
                <w:rFonts w:cstheme="minorHAnsi"/>
                <w:lang w:val="en-GB"/>
              </w:rPr>
              <w:t xml:space="preserve"> All 3 defined types of operations would be subject of the same Call.</w:t>
            </w:r>
          </w:p>
          <w:p w14:paraId="14A20614" w14:textId="77777777" w:rsidR="00CC132F" w:rsidRPr="00903A00" w:rsidRDefault="00CC132F" w:rsidP="00E53254">
            <w:pPr>
              <w:rPr>
                <w:rFonts w:cstheme="minorHAnsi"/>
                <w:lang w:val="en-GB"/>
              </w:rPr>
            </w:pPr>
          </w:p>
          <w:p w14:paraId="26CFE70A" w14:textId="77777777" w:rsidR="007925EF" w:rsidRPr="00903A00" w:rsidRDefault="007925EF" w:rsidP="00E53254">
            <w:pPr>
              <w:rPr>
                <w:rFonts w:cstheme="minorHAnsi"/>
                <w:b/>
                <w:lang w:val="en-GB"/>
              </w:rPr>
            </w:pPr>
            <w:r w:rsidRPr="00903A00">
              <w:rPr>
                <w:rFonts w:cstheme="minorHAnsi"/>
                <w:b/>
                <w:lang w:val="en-GB"/>
              </w:rPr>
              <w:t>Type I – Cooperation project based on unit costs</w:t>
            </w:r>
          </w:p>
          <w:p w14:paraId="2E379731" w14:textId="25AFF890" w:rsidR="00592090" w:rsidRDefault="00592090" w:rsidP="00A52926">
            <w:pPr>
              <w:jc w:val="both"/>
              <w:rPr>
                <w:rFonts w:cstheme="minorHAnsi"/>
                <w:lang w:val="en-GB"/>
              </w:rPr>
            </w:pPr>
          </w:p>
          <w:p w14:paraId="10DF1FD6" w14:textId="09844369" w:rsidR="00127959" w:rsidRPr="00903A00" w:rsidRDefault="00CB46B5" w:rsidP="00A52926">
            <w:pPr>
              <w:jc w:val="both"/>
              <w:rPr>
                <w:rFonts w:cstheme="minorHAnsi"/>
                <w:lang w:val="en-GB"/>
              </w:rPr>
            </w:pPr>
            <w:r w:rsidRPr="00903A00">
              <w:rPr>
                <w:rFonts w:cstheme="minorHAnsi"/>
                <w:lang w:val="en-GB"/>
              </w:rPr>
              <w:t xml:space="preserve">The project is at most 1 year long and supports events that </w:t>
            </w:r>
            <w:r w:rsidR="00C47AD0" w:rsidRPr="00903A00">
              <w:rPr>
                <w:rFonts w:cstheme="minorHAnsi"/>
                <w:lang w:val="en-GB"/>
              </w:rPr>
              <w:t xml:space="preserve">build up mutual trust, and </w:t>
            </w:r>
            <w:r w:rsidRPr="00903A00">
              <w:rPr>
                <w:rFonts w:cstheme="minorHAnsi"/>
                <w:lang w:val="en-GB"/>
              </w:rPr>
              <w:t>enable or improve cooperation</w:t>
            </w:r>
            <w:r w:rsidR="00AC7712" w:rsidRPr="00903A00">
              <w:rPr>
                <w:rFonts w:cstheme="minorHAnsi"/>
                <w:lang w:val="en-GB"/>
              </w:rPr>
              <w:t xml:space="preserve"> of institutions and target groups</w:t>
            </w:r>
            <w:r w:rsidRPr="00903A00">
              <w:rPr>
                <w:rFonts w:cstheme="minorHAnsi"/>
                <w:lang w:val="en-GB"/>
              </w:rPr>
              <w:t xml:space="preserve">. </w:t>
            </w:r>
            <w:r w:rsidR="00AC7712" w:rsidRPr="00903A00">
              <w:rPr>
                <w:rFonts w:cstheme="minorHAnsi"/>
                <w:lang w:val="en-GB"/>
              </w:rPr>
              <w:t>At least two events</w:t>
            </w:r>
            <w:r w:rsidR="00A52926" w:rsidRPr="00903A00">
              <w:rPr>
                <w:rFonts w:cstheme="minorHAnsi"/>
                <w:lang w:val="en-GB"/>
              </w:rPr>
              <w:t xml:space="preserve"> (</w:t>
            </w:r>
            <w:r w:rsidR="000D0101">
              <w:rPr>
                <w:rFonts w:cstheme="minorHAnsi"/>
                <w:lang w:val="en-GB"/>
              </w:rPr>
              <w:t xml:space="preserve">each </w:t>
            </w:r>
            <w:r w:rsidR="00A52926" w:rsidRPr="00903A00">
              <w:rPr>
                <w:rFonts w:cstheme="minorHAnsi"/>
                <w:lang w:val="en-GB"/>
              </w:rPr>
              <w:t>min 4 hrs long)</w:t>
            </w:r>
            <w:r w:rsidR="00AC7712" w:rsidRPr="00903A00">
              <w:rPr>
                <w:rFonts w:cstheme="minorHAnsi"/>
                <w:lang w:val="en-GB"/>
              </w:rPr>
              <w:t xml:space="preserve"> per project (at least one per member state) and minimum of 25 participants per event are required. </w:t>
            </w:r>
            <w:r w:rsidRPr="00903A00">
              <w:rPr>
                <w:rFonts w:cstheme="minorHAnsi"/>
                <w:lang w:val="en-GB"/>
              </w:rPr>
              <w:t>Events include workshops, confer</w:t>
            </w:r>
            <w:r w:rsidR="00127959" w:rsidRPr="00903A00">
              <w:rPr>
                <w:rFonts w:cstheme="minorHAnsi"/>
                <w:lang w:val="en-GB"/>
              </w:rPr>
              <w:t>ences, seminars, and trainings.</w:t>
            </w:r>
          </w:p>
          <w:p w14:paraId="5AD506DE" w14:textId="745799EE" w:rsidR="00CC132F" w:rsidRPr="00903A00" w:rsidRDefault="005925EA" w:rsidP="0040235A">
            <w:pPr>
              <w:jc w:val="both"/>
              <w:rPr>
                <w:rFonts w:cstheme="minorHAnsi"/>
                <w:lang w:val="en-GB"/>
              </w:rPr>
            </w:pPr>
            <w:r>
              <w:rPr>
                <w:rFonts w:cstheme="minorHAnsi"/>
                <w:lang w:val="en-GB"/>
              </w:rPr>
              <w:t>Withi</w:t>
            </w:r>
            <w:r w:rsidR="00FE2C3E" w:rsidRPr="00903A00">
              <w:rPr>
                <w:rFonts w:cstheme="minorHAnsi"/>
                <w:lang w:val="en-GB"/>
              </w:rPr>
              <w:t xml:space="preserve">n unit cost all costs occurring in </w:t>
            </w:r>
            <w:r>
              <w:rPr>
                <w:rFonts w:cstheme="minorHAnsi"/>
                <w:lang w:val="en-GB"/>
              </w:rPr>
              <w:t xml:space="preserve">phases of </w:t>
            </w:r>
            <w:r w:rsidR="00FE2C3E" w:rsidRPr="00903A00">
              <w:rPr>
                <w:rFonts w:cstheme="minorHAnsi"/>
                <w:lang w:val="en-GB"/>
              </w:rPr>
              <w:t xml:space="preserve">preparation </w:t>
            </w:r>
            <w:r w:rsidR="0040235A">
              <w:rPr>
                <w:rFonts w:cstheme="minorHAnsi"/>
                <w:lang w:val="en-GB"/>
              </w:rPr>
              <w:t>as well as</w:t>
            </w:r>
            <w:r w:rsidR="00FE2C3E" w:rsidRPr="00903A00">
              <w:rPr>
                <w:rFonts w:cstheme="minorHAnsi"/>
                <w:lang w:val="en-GB"/>
              </w:rPr>
              <w:t xml:space="preserve"> project implementation </w:t>
            </w:r>
            <w:r w:rsidR="001C717B" w:rsidRPr="00903A00">
              <w:rPr>
                <w:rFonts w:cstheme="minorHAnsi"/>
                <w:lang w:val="en-GB"/>
              </w:rPr>
              <w:t>(staff</w:t>
            </w:r>
            <w:r w:rsidR="001C717B">
              <w:rPr>
                <w:rFonts w:cstheme="minorHAnsi"/>
                <w:lang w:val="en-GB"/>
              </w:rPr>
              <w:t xml:space="preserve"> costs</w:t>
            </w:r>
            <w:r w:rsidR="001C717B" w:rsidRPr="00903A00">
              <w:rPr>
                <w:rFonts w:cstheme="minorHAnsi"/>
                <w:lang w:val="en-GB"/>
              </w:rPr>
              <w:t>, administrative</w:t>
            </w:r>
            <w:r w:rsidR="001C717B">
              <w:rPr>
                <w:rFonts w:cstheme="minorHAnsi"/>
                <w:lang w:val="en-GB"/>
              </w:rPr>
              <w:t xml:space="preserve"> costs</w:t>
            </w:r>
            <w:r w:rsidR="001C717B" w:rsidRPr="00903A00">
              <w:rPr>
                <w:rFonts w:cstheme="minorHAnsi"/>
                <w:lang w:val="en-GB"/>
              </w:rPr>
              <w:t>, t</w:t>
            </w:r>
            <w:r w:rsidR="009803A5">
              <w:rPr>
                <w:rFonts w:cstheme="minorHAnsi"/>
                <w:lang w:val="en-GB"/>
              </w:rPr>
              <w:t xml:space="preserve">ravel and accommodation costs, </w:t>
            </w:r>
            <w:r w:rsidR="001C717B" w:rsidRPr="00903A00">
              <w:rPr>
                <w:rFonts w:cstheme="minorHAnsi"/>
                <w:lang w:val="en-GB"/>
              </w:rPr>
              <w:t>translation/interpretation costs, venue (room, equipment), moderation of the event and catering)</w:t>
            </w:r>
            <w:r w:rsidR="001C717B">
              <w:rPr>
                <w:rFonts w:cstheme="minorHAnsi"/>
                <w:lang w:val="en-GB"/>
              </w:rPr>
              <w:t xml:space="preserve"> </w:t>
            </w:r>
            <w:r>
              <w:rPr>
                <w:rFonts w:cstheme="minorHAnsi"/>
                <w:lang w:val="en-GB"/>
              </w:rPr>
              <w:t>a</w:t>
            </w:r>
            <w:r w:rsidR="00FE2C3E" w:rsidRPr="00903A00">
              <w:rPr>
                <w:rFonts w:cstheme="minorHAnsi"/>
                <w:lang w:val="en-GB"/>
              </w:rPr>
              <w:t>re included.</w:t>
            </w:r>
          </w:p>
        </w:tc>
      </w:tr>
      <w:tr w:rsidR="00B65532" w:rsidRPr="00737DA5" w14:paraId="6A3F67C6" w14:textId="77777777" w:rsidTr="00B65532">
        <w:tc>
          <w:tcPr>
            <w:tcW w:w="6997" w:type="dxa"/>
          </w:tcPr>
          <w:p w14:paraId="66FDE6CF" w14:textId="5C8B9161" w:rsidR="00B65532" w:rsidRPr="00737DA5" w:rsidRDefault="00B65532" w:rsidP="00B65532">
            <w:pPr>
              <w:rPr>
                <w:lang w:val="en-GB"/>
              </w:rPr>
            </w:pPr>
            <w:r w:rsidRPr="00737DA5">
              <w:rPr>
                <w:lang w:val="en-GB"/>
              </w:rPr>
              <w:t>1.2 Specific objective</w:t>
            </w:r>
            <w:r w:rsidR="00E96459">
              <w:rPr>
                <w:lang w:val="en-GB"/>
              </w:rPr>
              <w:t>(s)</w:t>
            </w:r>
          </w:p>
        </w:tc>
        <w:tc>
          <w:tcPr>
            <w:tcW w:w="6997" w:type="dxa"/>
          </w:tcPr>
          <w:p w14:paraId="358C810C" w14:textId="7E6628A8" w:rsidR="00B65532" w:rsidRPr="00737DA5" w:rsidRDefault="009803A5" w:rsidP="009803A5">
            <w:pPr>
              <w:rPr>
                <w:lang w:val="en-GB"/>
              </w:rPr>
            </w:pPr>
            <w:r>
              <w:rPr>
                <w:lang w:val="en-GB"/>
              </w:rPr>
              <w:t xml:space="preserve">Priority axis 3, ISO1 </w:t>
            </w:r>
            <w:r w:rsidR="00014FF0">
              <w:rPr>
                <w:lang w:val="en-GB"/>
              </w:rPr>
              <w:t>(</w:t>
            </w:r>
            <w:r>
              <w:rPr>
                <w:lang w:val="en-GB"/>
              </w:rPr>
              <w:t>SO6.3</w:t>
            </w:r>
            <w:r w:rsidR="00014FF0">
              <w:rPr>
                <w:lang w:val="en-GB"/>
              </w:rPr>
              <w:t>)</w:t>
            </w:r>
          </w:p>
        </w:tc>
      </w:tr>
      <w:tr w:rsidR="00B65532" w:rsidRPr="00737DA5" w14:paraId="39E40748" w14:textId="77777777" w:rsidTr="00B65532">
        <w:tc>
          <w:tcPr>
            <w:tcW w:w="6997" w:type="dxa"/>
          </w:tcPr>
          <w:p w14:paraId="1D7CFC89" w14:textId="77777777" w:rsidR="00B65532" w:rsidRPr="00737DA5" w:rsidRDefault="00B65532" w:rsidP="00E53254">
            <w:pPr>
              <w:rPr>
                <w:lang w:val="en-GB"/>
              </w:rPr>
            </w:pPr>
            <w:r w:rsidRPr="00737DA5">
              <w:rPr>
                <w:lang w:val="en-GB"/>
              </w:rPr>
              <w:t>1.3 Indicator triggering reimbursement(</w:t>
            </w:r>
            <w:r w:rsidRPr="00737DA5">
              <w:rPr>
                <w:vertAlign w:val="superscript"/>
                <w:lang w:val="en-GB"/>
              </w:rPr>
              <w:t>2</w:t>
            </w:r>
            <w:r w:rsidRPr="00737DA5">
              <w:rPr>
                <w:lang w:val="en-GB"/>
              </w:rPr>
              <w:t>)</w:t>
            </w:r>
          </w:p>
        </w:tc>
        <w:tc>
          <w:tcPr>
            <w:tcW w:w="6997" w:type="dxa"/>
          </w:tcPr>
          <w:p w14:paraId="5EF0D2EF" w14:textId="77777777" w:rsidR="00B65532" w:rsidRPr="00737DA5" w:rsidRDefault="00AC7712" w:rsidP="00E53254">
            <w:pPr>
              <w:rPr>
                <w:lang w:val="en-GB"/>
              </w:rPr>
            </w:pPr>
            <w:r w:rsidRPr="00737DA5">
              <w:rPr>
                <w:lang w:val="en-GB"/>
              </w:rPr>
              <w:t>- Sign</w:t>
            </w:r>
            <w:r w:rsidR="00127959">
              <w:rPr>
                <w:lang w:val="en-GB"/>
              </w:rPr>
              <w:t>ed</w:t>
            </w:r>
            <w:r w:rsidRPr="00737DA5">
              <w:rPr>
                <w:lang w:val="en-GB"/>
              </w:rPr>
              <w:t xml:space="preserve"> subsidy contract</w:t>
            </w:r>
            <w:r w:rsidR="00127959">
              <w:rPr>
                <w:lang w:val="en-GB"/>
              </w:rPr>
              <w:t xml:space="preserve"> </w:t>
            </w:r>
          </w:p>
          <w:p w14:paraId="57D8F962" w14:textId="12CD6263" w:rsidR="00AC7712" w:rsidRPr="00737DA5" w:rsidRDefault="00AC7712" w:rsidP="00404DF2">
            <w:pPr>
              <w:rPr>
                <w:lang w:val="en-GB"/>
              </w:rPr>
            </w:pPr>
            <w:r w:rsidRPr="00737DA5">
              <w:rPr>
                <w:lang w:val="en-GB"/>
              </w:rPr>
              <w:t xml:space="preserve">- </w:t>
            </w:r>
            <w:r w:rsidR="008A69C1">
              <w:rPr>
                <w:lang w:val="en-GB"/>
              </w:rPr>
              <w:t>I</w:t>
            </w:r>
            <w:r w:rsidR="00404DF2">
              <w:rPr>
                <w:lang w:val="en-GB"/>
              </w:rPr>
              <w:t>mplemented e</w:t>
            </w:r>
            <w:r w:rsidR="00014FF0">
              <w:rPr>
                <w:lang w:val="en-GB"/>
              </w:rPr>
              <w:t>vents</w:t>
            </w:r>
          </w:p>
        </w:tc>
      </w:tr>
      <w:tr w:rsidR="00B65532" w:rsidRPr="00737DA5" w14:paraId="4B9CA570" w14:textId="77777777" w:rsidTr="00B65532">
        <w:tc>
          <w:tcPr>
            <w:tcW w:w="6997" w:type="dxa"/>
          </w:tcPr>
          <w:p w14:paraId="7BF83775" w14:textId="77777777" w:rsidR="00B65532" w:rsidRPr="00737DA5" w:rsidRDefault="00B65532" w:rsidP="00B65532">
            <w:pPr>
              <w:rPr>
                <w:lang w:val="en-GB"/>
              </w:rPr>
            </w:pPr>
            <w:r w:rsidRPr="00737DA5">
              <w:rPr>
                <w:lang w:val="en-GB"/>
              </w:rPr>
              <w:t>1.4 Unit of measurement for the indicator triggering reimbursement</w:t>
            </w:r>
          </w:p>
        </w:tc>
        <w:tc>
          <w:tcPr>
            <w:tcW w:w="6997" w:type="dxa"/>
          </w:tcPr>
          <w:p w14:paraId="7C748FB1" w14:textId="4C0FF238" w:rsidR="00127959" w:rsidRDefault="00A52926" w:rsidP="00127959">
            <w:pPr>
              <w:rPr>
                <w:lang w:val="en-GB"/>
              </w:rPr>
            </w:pPr>
            <w:r w:rsidRPr="00737DA5">
              <w:rPr>
                <w:lang w:val="en-GB"/>
              </w:rPr>
              <w:t>Signed sub</w:t>
            </w:r>
            <w:r w:rsidR="00AC7712" w:rsidRPr="00737DA5">
              <w:rPr>
                <w:lang w:val="en-GB"/>
              </w:rPr>
              <w:t>sidy contract</w:t>
            </w:r>
            <w:r w:rsidR="00014FF0">
              <w:rPr>
                <w:lang w:val="en-GB"/>
              </w:rPr>
              <w:t xml:space="preserve"> by the lead partner</w:t>
            </w:r>
            <w:r w:rsidR="00127959">
              <w:rPr>
                <w:lang w:val="en-GB"/>
              </w:rPr>
              <w:t xml:space="preserve"> (10% of project value reimbursement)</w:t>
            </w:r>
          </w:p>
          <w:p w14:paraId="1EB973D0" w14:textId="77777777" w:rsidR="00AC7712" w:rsidRPr="00737DA5" w:rsidRDefault="00127959" w:rsidP="00127959">
            <w:pPr>
              <w:rPr>
                <w:lang w:val="en-GB"/>
              </w:rPr>
            </w:pPr>
            <w:r>
              <w:rPr>
                <w:lang w:val="en-GB"/>
              </w:rPr>
              <w:t>No. of participants (the rest of the project value)</w:t>
            </w:r>
          </w:p>
        </w:tc>
      </w:tr>
      <w:tr w:rsidR="00B65532" w:rsidRPr="00737DA5" w14:paraId="69CFC82C" w14:textId="77777777" w:rsidTr="00B65532">
        <w:tc>
          <w:tcPr>
            <w:tcW w:w="6997" w:type="dxa"/>
          </w:tcPr>
          <w:p w14:paraId="5383A057" w14:textId="77777777" w:rsidR="00B65532" w:rsidRPr="00737DA5" w:rsidRDefault="00B65532" w:rsidP="00B65532">
            <w:pPr>
              <w:rPr>
                <w:lang w:val="en-GB"/>
              </w:rPr>
            </w:pPr>
            <w:r w:rsidRPr="00737DA5">
              <w:rPr>
                <w:lang w:val="en-GB"/>
              </w:rPr>
              <w:t>1.5 Standard scale of unit cost, lump sum or flat rate</w:t>
            </w:r>
          </w:p>
        </w:tc>
        <w:tc>
          <w:tcPr>
            <w:tcW w:w="6997" w:type="dxa"/>
          </w:tcPr>
          <w:p w14:paraId="7BAAFD99" w14:textId="77777777" w:rsidR="00B65532" w:rsidRPr="00737DA5" w:rsidRDefault="00127959" w:rsidP="00127959">
            <w:pPr>
              <w:rPr>
                <w:lang w:val="en-GB"/>
              </w:rPr>
            </w:pPr>
            <w:r>
              <w:rPr>
                <w:lang w:val="en-GB"/>
              </w:rPr>
              <w:t>U</w:t>
            </w:r>
            <w:r w:rsidR="007925EF" w:rsidRPr="00737DA5">
              <w:rPr>
                <w:lang w:val="en-GB"/>
              </w:rPr>
              <w:t>nit cost</w:t>
            </w:r>
            <w:r>
              <w:rPr>
                <w:lang w:val="en-GB"/>
              </w:rPr>
              <w:t>s</w:t>
            </w:r>
          </w:p>
        </w:tc>
      </w:tr>
      <w:tr w:rsidR="00B65532" w:rsidRPr="00737DA5" w14:paraId="6140F3C1" w14:textId="77777777" w:rsidTr="00B65532">
        <w:tc>
          <w:tcPr>
            <w:tcW w:w="6997" w:type="dxa"/>
          </w:tcPr>
          <w:p w14:paraId="633F27E8" w14:textId="584D3528" w:rsidR="00B65532" w:rsidRPr="00737DA5" w:rsidRDefault="00B65532" w:rsidP="00920ED8">
            <w:pPr>
              <w:rPr>
                <w:lang w:val="en-GB"/>
              </w:rPr>
            </w:pPr>
            <w:r w:rsidRPr="00737DA5">
              <w:rPr>
                <w:lang w:val="en-GB"/>
              </w:rPr>
              <w:lastRenderedPageBreak/>
              <w:t xml:space="preserve">1.6 Amount per unit of measurement or percentage (for flat rates) of the </w:t>
            </w:r>
            <w:r w:rsidR="00E96459">
              <w:rPr>
                <w:lang w:val="en-GB"/>
              </w:rPr>
              <w:t>SCO</w:t>
            </w:r>
          </w:p>
        </w:tc>
        <w:tc>
          <w:tcPr>
            <w:tcW w:w="6997" w:type="dxa"/>
          </w:tcPr>
          <w:p w14:paraId="543A7254" w14:textId="76E8EF2E" w:rsidR="00CC132F" w:rsidRPr="00737DA5" w:rsidRDefault="00FC1BBF" w:rsidP="00FC1BBF">
            <w:pPr>
              <w:rPr>
                <w:lang w:val="en-GB"/>
              </w:rPr>
            </w:pPr>
            <w:r w:rsidRPr="00FC1BBF">
              <w:rPr>
                <w:b/>
                <w:lang w:val="en-GB"/>
              </w:rPr>
              <w:t>12</w:t>
            </w:r>
            <w:r w:rsidR="007925EF" w:rsidRPr="00FC1BBF">
              <w:rPr>
                <w:b/>
                <w:lang w:val="en-GB"/>
              </w:rPr>
              <w:t>5</w:t>
            </w:r>
            <w:r w:rsidR="00CC132F" w:rsidRPr="00FC1BBF">
              <w:rPr>
                <w:b/>
                <w:lang w:val="en-GB"/>
              </w:rPr>
              <w:t>,00</w:t>
            </w:r>
            <w:r w:rsidRPr="00FC1BBF">
              <w:rPr>
                <w:b/>
                <w:lang w:val="en-GB"/>
              </w:rPr>
              <w:t xml:space="preserve"> EUR</w:t>
            </w:r>
          </w:p>
        </w:tc>
      </w:tr>
      <w:tr w:rsidR="00B65532" w:rsidRPr="00737DA5" w14:paraId="6B058889" w14:textId="77777777" w:rsidTr="00B65532">
        <w:tc>
          <w:tcPr>
            <w:tcW w:w="6997" w:type="dxa"/>
          </w:tcPr>
          <w:p w14:paraId="13D41AE4" w14:textId="77777777" w:rsidR="00B65532" w:rsidRPr="00737DA5" w:rsidRDefault="00B65532" w:rsidP="00B65532">
            <w:pPr>
              <w:rPr>
                <w:lang w:val="en-GB"/>
              </w:rPr>
            </w:pPr>
            <w:r w:rsidRPr="00737DA5">
              <w:rPr>
                <w:lang w:val="en-GB"/>
              </w:rPr>
              <w:t>1.7 Categories of costs covered by the unit cost, lump sum or flat rate</w:t>
            </w:r>
          </w:p>
        </w:tc>
        <w:tc>
          <w:tcPr>
            <w:tcW w:w="6997" w:type="dxa"/>
          </w:tcPr>
          <w:p w14:paraId="3F00D7EC" w14:textId="5D2E4138" w:rsidR="00BA2758" w:rsidRDefault="00BA2758" w:rsidP="00E53254">
            <w:pPr>
              <w:rPr>
                <w:lang w:val="en-GB"/>
              </w:rPr>
            </w:pPr>
            <w:r>
              <w:rPr>
                <w:lang w:val="en-GB"/>
              </w:rPr>
              <w:t xml:space="preserve">By unit costs </w:t>
            </w:r>
            <w:r w:rsidR="0040235A">
              <w:rPr>
                <w:lang w:val="en-GB"/>
              </w:rPr>
              <w:t xml:space="preserve">all cost categories </w:t>
            </w:r>
            <w:r>
              <w:rPr>
                <w:lang w:val="en-GB"/>
              </w:rPr>
              <w:t>are covered.</w:t>
            </w:r>
          </w:p>
          <w:p w14:paraId="65FE6214" w14:textId="5462E55E" w:rsidR="00B65532" w:rsidRPr="00737DA5" w:rsidRDefault="00BA2758" w:rsidP="00AE06F8">
            <w:pPr>
              <w:rPr>
                <w:lang w:val="en-GB"/>
              </w:rPr>
            </w:pPr>
            <w:r>
              <w:rPr>
                <w:lang w:val="en-GB"/>
              </w:rPr>
              <w:t>See Methodology I</w:t>
            </w:r>
            <w:r w:rsidR="00AE06F8">
              <w:rPr>
                <w:lang w:val="en-GB"/>
              </w:rPr>
              <w:t xml:space="preserve"> (C.3 below).</w:t>
            </w:r>
          </w:p>
        </w:tc>
      </w:tr>
      <w:tr w:rsidR="00B65532" w:rsidRPr="00737DA5" w14:paraId="402C096C" w14:textId="77777777" w:rsidTr="00B65532">
        <w:tc>
          <w:tcPr>
            <w:tcW w:w="6997" w:type="dxa"/>
          </w:tcPr>
          <w:p w14:paraId="4E53D67F" w14:textId="77777777" w:rsidR="00B65532" w:rsidRPr="00737DA5" w:rsidRDefault="00B65532" w:rsidP="00B65532">
            <w:pPr>
              <w:rPr>
                <w:lang w:val="en-GB"/>
              </w:rPr>
            </w:pPr>
            <w:r w:rsidRPr="00737DA5">
              <w:rPr>
                <w:lang w:val="en-GB"/>
              </w:rPr>
              <w:t>1.8 Do these categories of costs cover all eligible expenditure for the operation? (Y/N)</w:t>
            </w:r>
          </w:p>
        </w:tc>
        <w:tc>
          <w:tcPr>
            <w:tcW w:w="6997" w:type="dxa"/>
          </w:tcPr>
          <w:p w14:paraId="0158A12E" w14:textId="77777777" w:rsidR="00B65532" w:rsidRPr="00737DA5" w:rsidRDefault="007925EF" w:rsidP="00E53254">
            <w:pPr>
              <w:rPr>
                <w:lang w:val="en-GB"/>
              </w:rPr>
            </w:pPr>
            <w:r w:rsidRPr="00737DA5">
              <w:rPr>
                <w:lang w:val="en-GB"/>
              </w:rPr>
              <w:t>Yes</w:t>
            </w:r>
          </w:p>
        </w:tc>
      </w:tr>
      <w:tr w:rsidR="00B65532" w:rsidRPr="00737DA5" w14:paraId="3A11C1FE" w14:textId="77777777" w:rsidTr="00B65532">
        <w:tc>
          <w:tcPr>
            <w:tcW w:w="6997" w:type="dxa"/>
          </w:tcPr>
          <w:p w14:paraId="74725869" w14:textId="77777777" w:rsidR="00B65532" w:rsidRPr="00737DA5" w:rsidRDefault="00B65532" w:rsidP="00B65532">
            <w:pPr>
              <w:rPr>
                <w:lang w:val="en-GB"/>
              </w:rPr>
            </w:pPr>
            <w:r w:rsidRPr="00737DA5">
              <w:rPr>
                <w:lang w:val="en-GB"/>
              </w:rPr>
              <w:t>1.9 Adjustment(s) method(</w:t>
            </w:r>
            <w:r w:rsidRPr="00737DA5">
              <w:rPr>
                <w:vertAlign w:val="superscript"/>
                <w:lang w:val="en-GB"/>
              </w:rPr>
              <w:t>3</w:t>
            </w:r>
            <w:r w:rsidRPr="00737DA5">
              <w:rPr>
                <w:lang w:val="en-GB"/>
              </w:rPr>
              <w:t>)</w:t>
            </w:r>
          </w:p>
        </w:tc>
        <w:tc>
          <w:tcPr>
            <w:tcW w:w="6997" w:type="dxa"/>
          </w:tcPr>
          <w:p w14:paraId="61B6BA31" w14:textId="021AB466" w:rsidR="00B65532" w:rsidRPr="00737DA5" w:rsidRDefault="007D0367" w:rsidP="007D0367">
            <w:pPr>
              <w:rPr>
                <w:lang w:val="en-GB"/>
              </w:rPr>
            </w:pPr>
            <w:r w:rsidRPr="00737DA5">
              <w:rPr>
                <w:lang w:val="en-GB"/>
              </w:rPr>
              <w:t xml:space="preserve">Set amounts </w:t>
            </w:r>
            <w:r w:rsidR="00323AB7">
              <w:rPr>
                <w:lang w:val="en-GB"/>
              </w:rPr>
              <w:t>re</w:t>
            </w:r>
            <w:r w:rsidRPr="00737DA5">
              <w:rPr>
                <w:lang w:val="en-GB"/>
              </w:rPr>
              <w:t>present the co-financing of projects to partners of both member states without any (later) adjustments.</w:t>
            </w:r>
          </w:p>
        </w:tc>
      </w:tr>
      <w:tr w:rsidR="0016765E" w:rsidRPr="00737DA5" w14:paraId="437285C2" w14:textId="77777777" w:rsidTr="00B65532">
        <w:tc>
          <w:tcPr>
            <w:tcW w:w="6997" w:type="dxa"/>
          </w:tcPr>
          <w:p w14:paraId="564BFF18" w14:textId="24FD1E2B" w:rsidR="0016765E" w:rsidRPr="00737DA5" w:rsidRDefault="0016765E" w:rsidP="00B65532">
            <w:pPr>
              <w:rPr>
                <w:lang w:val="en-GB"/>
              </w:rPr>
            </w:pPr>
            <w:r w:rsidRPr="00737DA5">
              <w:rPr>
                <w:lang w:val="en-GB"/>
              </w:rPr>
              <w:t>1.10 Verification of the achievement of the units</w:t>
            </w:r>
          </w:p>
          <w:p w14:paraId="3C86230C" w14:textId="77777777" w:rsidR="0016765E" w:rsidRPr="00737DA5" w:rsidRDefault="0016765E" w:rsidP="00B65532">
            <w:pPr>
              <w:rPr>
                <w:lang w:val="en-GB"/>
              </w:rPr>
            </w:pPr>
            <w:r w:rsidRPr="00737DA5">
              <w:rPr>
                <w:lang w:val="en-GB"/>
              </w:rPr>
              <w:t>— describe what document(s)/system will be used to verify the achievement of the units delivered</w:t>
            </w:r>
          </w:p>
          <w:p w14:paraId="00FB4959" w14:textId="77777777" w:rsidR="0016765E" w:rsidRPr="00737DA5" w:rsidRDefault="0016765E" w:rsidP="00B65532">
            <w:pPr>
              <w:rPr>
                <w:lang w:val="en-GB"/>
              </w:rPr>
            </w:pPr>
            <w:r w:rsidRPr="00737DA5">
              <w:rPr>
                <w:lang w:val="en-GB"/>
              </w:rPr>
              <w:t>—describe what will be checked and by whom during management verifications</w:t>
            </w:r>
          </w:p>
          <w:p w14:paraId="43398178" w14:textId="77777777" w:rsidR="0016765E" w:rsidRPr="00737DA5" w:rsidRDefault="0016765E" w:rsidP="00B65532">
            <w:pPr>
              <w:rPr>
                <w:lang w:val="en-GB"/>
              </w:rPr>
            </w:pPr>
            <w:r w:rsidRPr="00737DA5">
              <w:rPr>
                <w:lang w:val="en-GB"/>
              </w:rPr>
              <w:t>— describe what arrangements will be made to collect and store the relevant data/documents</w:t>
            </w:r>
          </w:p>
        </w:tc>
        <w:tc>
          <w:tcPr>
            <w:tcW w:w="6997" w:type="dxa"/>
          </w:tcPr>
          <w:p w14:paraId="1028C3E5" w14:textId="77777777" w:rsidR="0016765E" w:rsidRPr="00737DA5" w:rsidRDefault="00C2175E" w:rsidP="00A52926">
            <w:pPr>
              <w:rPr>
                <w:lang w:val="en-GB"/>
              </w:rPr>
            </w:pPr>
            <w:r w:rsidRPr="00737DA5">
              <w:rPr>
                <w:lang w:val="en-GB"/>
              </w:rPr>
              <w:t>a) O</w:t>
            </w:r>
            <w:r w:rsidR="0016765E" w:rsidRPr="00737DA5">
              <w:rPr>
                <w:lang w:val="en-GB"/>
              </w:rPr>
              <w:t xml:space="preserve">bligatory documents are: </w:t>
            </w:r>
          </w:p>
          <w:p w14:paraId="06EFEB55" w14:textId="77777777" w:rsidR="0016765E" w:rsidRPr="00737DA5" w:rsidRDefault="0016765E" w:rsidP="00A52926">
            <w:pPr>
              <w:rPr>
                <w:lang w:val="en-GB"/>
              </w:rPr>
            </w:pPr>
            <w:r w:rsidRPr="00737DA5">
              <w:rPr>
                <w:lang w:val="en-GB"/>
              </w:rPr>
              <w:t xml:space="preserve">- </w:t>
            </w:r>
            <w:r w:rsidR="00296293" w:rsidRPr="00737DA5">
              <w:rPr>
                <w:lang w:val="en-GB"/>
              </w:rPr>
              <w:t>Signed sub</w:t>
            </w:r>
            <w:r w:rsidRPr="00737DA5">
              <w:rPr>
                <w:lang w:val="en-GB"/>
              </w:rPr>
              <w:t>sidy contract</w:t>
            </w:r>
          </w:p>
          <w:p w14:paraId="3D23C5C4" w14:textId="541D5BD6" w:rsidR="0016765E" w:rsidRPr="00737DA5" w:rsidRDefault="0016765E" w:rsidP="0016765E">
            <w:pPr>
              <w:rPr>
                <w:lang w:val="en-GB"/>
              </w:rPr>
            </w:pPr>
            <w:r w:rsidRPr="00737DA5">
              <w:rPr>
                <w:lang w:val="en-GB"/>
              </w:rPr>
              <w:t xml:space="preserve">- Lists of participants, </w:t>
            </w:r>
            <w:r w:rsidR="002539A4">
              <w:rPr>
                <w:lang w:val="en-GB"/>
              </w:rPr>
              <w:t>and</w:t>
            </w:r>
            <w:r w:rsidR="00801656">
              <w:rPr>
                <w:lang w:val="en-GB"/>
              </w:rPr>
              <w:t xml:space="preserve"> </w:t>
            </w:r>
            <w:r w:rsidR="001007A6">
              <w:rPr>
                <w:lang w:val="en-GB"/>
              </w:rPr>
              <w:t>the event report</w:t>
            </w:r>
            <w:r w:rsidRPr="00737DA5">
              <w:rPr>
                <w:lang w:val="en-GB"/>
              </w:rPr>
              <w:t xml:space="preserve"> about each implemented event</w:t>
            </w:r>
            <w:r w:rsidR="00C2175E" w:rsidRPr="00737DA5">
              <w:rPr>
                <w:lang w:val="en-GB"/>
              </w:rPr>
              <w:t xml:space="preserve"> </w:t>
            </w:r>
            <w:r w:rsidR="00EC58FE">
              <w:rPr>
                <w:lang w:val="en-GB"/>
              </w:rPr>
              <w:t xml:space="preserve">that </w:t>
            </w:r>
            <w:r w:rsidR="00801656">
              <w:rPr>
                <w:lang w:val="en-GB"/>
              </w:rPr>
              <w:t>must</w:t>
            </w:r>
            <w:r w:rsidRPr="00737DA5">
              <w:rPr>
                <w:lang w:val="en-GB"/>
              </w:rPr>
              <w:t xml:space="preserve"> clearly describe</w:t>
            </w:r>
            <w:r w:rsidR="001007A6">
              <w:rPr>
                <w:lang w:val="en-GB"/>
              </w:rPr>
              <w:t xml:space="preserve"> the event implementation (</w:t>
            </w:r>
            <w:r w:rsidRPr="00737DA5">
              <w:rPr>
                <w:lang w:val="en-GB"/>
              </w:rPr>
              <w:t>in words and picture where and when the event took place; who attended and what was presented, offered and shared with the participants and in what way</w:t>
            </w:r>
            <w:r w:rsidR="00EC58FE">
              <w:rPr>
                <w:lang w:val="en-GB"/>
              </w:rPr>
              <w:t>)</w:t>
            </w:r>
            <w:r w:rsidRPr="00737DA5">
              <w:rPr>
                <w:lang w:val="en-GB"/>
              </w:rPr>
              <w:t xml:space="preserve">. </w:t>
            </w:r>
          </w:p>
          <w:p w14:paraId="2066B849" w14:textId="3F07EFA0" w:rsidR="0016765E" w:rsidRPr="00737DA5" w:rsidRDefault="0016765E" w:rsidP="00C2175E">
            <w:pPr>
              <w:rPr>
                <w:lang w:val="en-GB"/>
              </w:rPr>
            </w:pPr>
            <w:r w:rsidRPr="00737DA5">
              <w:rPr>
                <w:lang w:val="en-GB"/>
              </w:rPr>
              <w:t xml:space="preserve">b) </w:t>
            </w:r>
            <w:r w:rsidR="00801656">
              <w:rPr>
                <w:lang w:val="en-GB"/>
              </w:rPr>
              <w:t>After sign</w:t>
            </w:r>
            <w:r w:rsidR="00E310C0">
              <w:rPr>
                <w:lang w:val="en-GB"/>
              </w:rPr>
              <w:t>ing the</w:t>
            </w:r>
            <w:r w:rsidR="00801656">
              <w:rPr>
                <w:lang w:val="en-GB"/>
              </w:rPr>
              <w:t xml:space="preserve"> subsidy contract 10% of the project planned value is to be </w:t>
            </w:r>
            <w:r w:rsidR="00737DA5" w:rsidRPr="00737DA5">
              <w:rPr>
                <w:lang w:val="en-GB"/>
              </w:rPr>
              <w:t>reimburse</w:t>
            </w:r>
            <w:r w:rsidR="00801656">
              <w:rPr>
                <w:lang w:val="en-GB"/>
              </w:rPr>
              <w:t xml:space="preserve">d. </w:t>
            </w:r>
            <w:r w:rsidRPr="00737DA5">
              <w:rPr>
                <w:lang w:val="en-GB"/>
              </w:rPr>
              <w:t>Lists of participants</w:t>
            </w:r>
            <w:r w:rsidR="00D3047E">
              <w:rPr>
                <w:lang w:val="en-GB"/>
              </w:rPr>
              <w:t xml:space="preserve"> and</w:t>
            </w:r>
            <w:r w:rsidRPr="00737DA5">
              <w:rPr>
                <w:lang w:val="en-GB"/>
              </w:rPr>
              <w:t xml:space="preserve"> reports about each </w:t>
            </w:r>
            <w:r w:rsidR="00C2175E" w:rsidRPr="00737DA5">
              <w:rPr>
                <w:lang w:val="en-GB"/>
              </w:rPr>
              <w:t xml:space="preserve">event will be checked. The </w:t>
            </w:r>
            <w:r w:rsidR="00737DA5" w:rsidRPr="00737DA5">
              <w:rPr>
                <w:lang w:val="en-GB"/>
              </w:rPr>
              <w:t>reimbursement</w:t>
            </w:r>
            <w:r w:rsidRPr="00737DA5">
              <w:rPr>
                <w:lang w:val="en-GB"/>
              </w:rPr>
              <w:t xml:space="preserve"> </w:t>
            </w:r>
            <w:r w:rsidR="00801656">
              <w:rPr>
                <w:lang w:val="en-GB"/>
              </w:rPr>
              <w:t xml:space="preserve">of the rest of the project costs (90%) will be </w:t>
            </w:r>
            <w:r w:rsidR="009623D0">
              <w:rPr>
                <w:lang w:val="en-GB"/>
              </w:rPr>
              <w:t xml:space="preserve">paid </w:t>
            </w:r>
            <w:r w:rsidR="00801656">
              <w:rPr>
                <w:lang w:val="en-GB"/>
              </w:rPr>
              <w:t xml:space="preserve">after the last event is implemented. </w:t>
            </w:r>
            <w:r w:rsidR="00894716">
              <w:rPr>
                <w:lang w:val="en-GB"/>
              </w:rPr>
              <w:t>It will be</w:t>
            </w:r>
            <w:r w:rsidR="00894716" w:rsidRPr="00894716">
              <w:rPr>
                <w:lang w:val="en-GB"/>
              </w:rPr>
              <w:t xml:space="preserve"> check</w:t>
            </w:r>
            <w:r w:rsidR="00894716">
              <w:rPr>
                <w:lang w:val="en-GB"/>
              </w:rPr>
              <w:t>ed</w:t>
            </w:r>
            <w:r w:rsidR="00894716" w:rsidRPr="00894716">
              <w:rPr>
                <w:lang w:val="en-GB"/>
              </w:rPr>
              <w:t xml:space="preserve"> whether translations and catering were carried out during the events, and whether the event</w:t>
            </w:r>
            <w:r w:rsidR="00894716">
              <w:rPr>
                <w:lang w:val="en-GB"/>
              </w:rPr>
              <w:t>s were</w:t>
            </w:r>
            <w:r w:rsidR="00894716" w:rsidRPr="00894716">
              <w:rPr>
                <w:lang w:val="en-GB"/>
              </w:rPr>
              <w:t xml:space="preserve"> carried out at the location of the partners or </w:t>
            </w:r>
            <w:r w:rsidR="00894716">
              <w:rPr>
                <w:lang w:val="en-GB"/>
              </w:rPr>
              <w:t xml:space="preserve">at a </w:t>
            </w:r>
            <w:r w:rsidR="00894716" w:rsidRPr="00894716">
              <w:rPr>
                <w:lang w:val="en-GB"/>
              </w:rPr>
              <w:t>rented location.</w:t>
            </w:r>
            <w:r w:rsidR="00894716">
              <w:rPr>
                <w:lang w:val="en-GB"/>
              </w:rPr>
              <w:t xml:space="preserve"> </w:t>
            </w:r>
            <w:r w:rsidR="002539A4">
              <w:rPr>
                <w:lang w:val="en-GB"/>
              </w:rPr>
              <w:t>T</w:t>
            </w:r>
            <w:r w:rsidR="00801656">
              <w:rPr>
                <w:lang w:val="en-GB"/>
              </w:rPr>
              <w:t xml:space="preserve">he payment will be depending on the no. of participants at the events. </w:t>
            </w:r>
          </w:p>
          <w:p w14:paraId="1FB89852" w14:textId="2ADF1304" w:rsidR="00133024" w:rsidRPr="00737DA5" w:rsidRDefault="004A74B0" w:rsidP="00133024">
            <w:pPr>
              <w:rPr>
                <w:highlight w:val="yellow"/>
                <w:lang w:val="en-GB"/>
              </w:rPr>
            </w:pPr>
            <w:r w:rsidRPr="004A74B0">
              <w:rPr>
                <w:lang w:val="en-GB"/>
              </w:rPr>
              <w:t xml:space="preserve">The MA/JS will be carrying out the management verifications for the </w:t>
            </w:r>
            <w:r w:rsidR="001C65FA">
              <w:rPr>
                <w:lang w:val="en-GB"/>
              </w:rPr>
              <w:t>reimbursements;</w:t>
            </w:r>
            <w:r w:rsidRPr="004A74B0">
              <w:rPr>
                <w:lang w:val="en-GB"/>
              </w:rPr>
              <w:t xml:space="preserve"> it will verify that the project was approved, the subsidy contract signed by the lead partner</w:t>
            </w:r>
            <w:r w:rsidR="001C65FA">
              <w:rPr>
                <w:lang w:val="en-GB"/>
              </w:rPr>
              <w:t xml:space="preserve"> and all conditions set for event implementation and reporting met</w:t>
            </w:r>
            <w:r w:rsidRPr="004A74B0">
              <w:rPr>
                <w:lang w:val="en-GB"/>
              </w:rPr>
              <w:t>.</w:t>
            </w:r>
            <w:r w:rsidR="001C65FA">
              <w:rPr>
                <w:lang w:val="en-GB"/>
              </w:rPr>
              <w:t xml:space="preserve"> </w:t>
            </w:r>
            <w:r w:rsidR="00133024" w:rsidRPr="00737DA5">
              <w:rPr>
                <w:lang w:val="en-GB"/>
              </w:rPr>
              <w:t xml:space="preserve">Control </w:t>
            </w:r>
            <w:r w:rsidR="002539A4">
              <w:rPr>
                <w:lang w:val="en-GB"/>
              </w:rPr>
              <w:t>will be</w:t>
            </w:r>
            <w:r w:rsidR="00133024" w:rsidRPr="00737DA5">
              <w:rPr>
                <w:lang w:val="en-GB"/>
              </w:rPr>
              <w:t xml:space="preserve"> done by MA/JS</w:t>
            </w:r>
            <w:r w:rsidR="009803A5">
              <w:rPr>
                <w:lang w:val="en-GB"/>
              </w:rPr>
              <w:t>;</w:t>
            </w:r>
            <w:r w:rsidR="00404DF2">
              <w:rPr>
                <w:lang w:val="en-GB"/>
              </w:rPr>
              <w:t xml:space="preserve"> </w:t>
            </w:r>
            <w:r w:rsidR="00D33DD8">
              <w:rPr>
                <w:lang w:val="en-GB"/>
              </w:rPr>
              <w:t>the original documentation will be</w:t>
            </w:r>
            <w:r w:rsidR="00133024" w:rsidRPr="00737DA5">
              <w:rPr>
                <w:lang w:val="en-GB"/>
              </w:rPr>
              <w:t xml:space="preserve"> checked.</w:t>
            </w:r>
          </w:p>
          <w:p w14:paraId="07B8466D" w14:textId="5B322249" w:rsidR="00C2175E" w:rsidRPr="00737DA5" w:rsidRDefault="00C2175E" w:rsidP="002539A4">
            <w:pPr>
              <w:rPr>
                <w:lang w:val="en-GB"/>
              </w:rPr>
            </w:pPr>
            <w:r w:rsidRPr="00737DA5">
              <w:rPr>
                <w:lang w:val="en-GB"/>
              </w:rPr>
              <w:t xml:space="preserve">c) </w:t>
            </w:r>
            <w:r w:rsidR="00B15C0D" w:rsidRPr="00737DA5">
              <w:rPr>
                <w:lang w:val="en-GB"/>
              </w:rPr>
              <w:t xml:space="preserve">The original documents </w:t>
            </w:r>
            <w:r w:rsidR="00721379" w:rsidRPr="00737DA5">
              <w:rPr>
                <w:lang w:val="en-GB"/>
              </w:rPr>
              <w:t>are</w:t>
            </w:r>
            <w:r w:rsidR="00B15C0D" w:rsidRPr="00737DA5">
              <w:rPr>
                <w:lang w:val="en-GB"/>
              </w:rPr>
              <w:t xml:space="preserve"> kept by the project partners (beneficiaries) and </w:t>
            </w:r>
            <w:r w:rsidR="002354D6">
              <w:rPr>
                <w:lang w:val="en-GB"/>
              </w:rPr>
              <w:t xml:space="preserve">shall be made </w:t>
            </w:r>
            <w:r w:rsidR="00B15C0D" w:rsidRPr="00737DA5">
              <w:rPr>
                <w:lang w:val="en-GB"/>
              </w:rPr>
              <w:t>avail</w:t>
            </w:r>
            <w:r w:rsidR="002539A4">
              <w:rPr>
                <w:lang w:val="en-GB"/>
              </w:rPr>
              <w:t xml:space="preserve">able in case of </w:t>
            </w:r>
            <w:r w:rsidR="00B15C0D" w:rsidRPr="00737DA5">
              <w:rPr>
                <w:lang w:val="en-GB"/>
              </w:rPr>
              <w:t>site visits and audit controls. The</w:t>
            </w:r>
            <w:r w:rsidRPr="00737DA5">
              <w:rPr>
                <w:lang w:val="en-GB"/>
              </w:rPr>
              <w:t xml:space="preserve"> relevant data/documents will be collected by </w:t>
            </w:r>
            <w:r w:rsidR="00B15C0D" w:rsidRPr="00737DA5">
              <w:rPr>
                <w:lang w:val="en-GB"/>
              </w:rPr>
              <w:t>beneficiaries</w:t>
            </w:r>
            <w:r w:rsidRPr="00737DA5">
              <w:rPr>
                <w:lang w:val="en-GB"/>
              </w:rPr>
              <w:t xml:space="preserve"> and uploaded in </w:t>
            </w:r>
            <w:proofErr w:type="spellStart"/>
            <w:r w:rsidRPr="00737DA5">
              <w:rPr>
                <w:lang w:val="en-GB"/>
              </w:rPr>
              <w:t>Jems</w:t>
            </w:r>
            <w:proofErr w:type="spellEnd"/>
            <w:r w:rsidR="009803A5">
              <w:rPr>
                <w:lang w:val="en-GB"/>
              </w:rPr>
              <w:t xml:space="preserve"> monitoring system</w:t>
            </w:r>
            <w:r w:rsidRPr="00737DA5">
              <w:rPr>
                <w:lang w:val="en-GB"/>
              </w:rPr>
              <w:t xml:space="preserve"> in </w:t>
            </w:r>
            <w:r w:rsidR="002354D6">
              <w:rPr>
                <w:lang w:val="en-GB"/>
              </w:rPr>
              <w:t xml:space="preserve">the </w:t>
            </w:r>
            <w:r w:rsidRPr="00737DA5">
              <w:rPr>
                <w:lang w:val="en-GB"/>
              </w:rPr>
              <w:t xml:space="preserve">process of reporting. </w:t>
            </w:r>
          </w:p>
        </w:tc>
      </w:tr>
      <w:tr w:rsidR="0016765E" w:rsidRPr="00737DA5" w14:paraId="2386CEB7" w14:textId="77777777" w:rsidTr="00B65532">
        <w:tc>
          <w:tcPr>
            <w:tcW w:w="6997" w:type="dxa"/>
          </w:tcPr>
          <w:p w14:paraId="1B824C3B" w14:textId="77777777" w:rsidR="0016765E" w:rsidRPr="00737DA5" w:rsidRDefault="0016765E" w:rsidP="00B65532">
            <w:pPr>
              <w:rPr>
                <w:lang w:val="en-GB"/>
              </w:rPr>
            </w:pPr>
            <w:r w:rsidRPr="00737DA5">
              <w:rPr>
                <w:lang w:val="en-GB"/>
              </w:rPr>
              <w:t>1.11 Possible perverse incentives, mitigating measures(</w:t>
            </w:r>
            <w:r w:rsidRPr="00737DA5">
              <w:rPr>
                <w:vertAlign w:val="superscript"/>
                <w:lang w:val="en-GB"/>
              </w:rPr>
              <w:t>4</w:t>
            </w:r>
            <w:r w:rsidRPr="00737DA5">
              <w:rPr>
                <w:lang w:val="en-GB"/>
              </w:rPr>
              <w:t>) and the estimated level of risk (high/medium/low)</w:t>
            </w:r>
          </w:p>
        </w:tc>
        <w:tc>
          <w:tcPr>
            <w:tcW w:w="6997" w:type="dxa"/>
          </w:tcPr>
          <w:p w14:paraId="4A5B3826" w14:textId="18BE0A54" w:rsidR="001C65FA" w:rsidRDefault="001C65FA" w:rsidP="002539A4">
            <w:pPr>
              <w:rPr>
                <w:lang w:val="en-GB"/>
              </w:rPr>
            </w:pPr>
            <w:r w:rsidRPr="001C65FA">
              <w:rPr>
                <w:lang w:val="en-GB"/>
              </w:rPr>
              <w:t>All project proposals are subject to an assessment, performed by the J</w:t>
            </w:r>
            <w:r w:rsidR="00D3047E">
              <w:rPr>
                <w:lang w:val="en-GB"/>
              </w:rPr>
              <w:t xml:space="preserve">oint </w:t>
            </w:r>
            <w:r w:rsidRPr="001C65FA">
              <w:rPr>
                <w:lang w:val="en-GB"/>
              </w:rPr>
              <w:t>S</w:t>
            </w:r>
            <w:r w:rsidR="00D3047E">
              <w:rPr>
                <w:lang w:val="en-GB"/>
              </w:rPr>
              <w:t>ecretariat</w:t>
            </w:r>
            <w:r w:rsidRPr="001C65FA">
              <w:rPr>
                <w:lang w:val="en-GB"/>
              </w:rPr>
              <w:t xml:space="preserve"> according to quality criteria in line with provisions of </w:t>
            </w:r>
            <w:r w:rsidRPr="00D33DD8">
              <w:rPr>
                <w:lang w:val="en-GB"/>
              </w:rPr>
              <w:t>Article 22</w:t>
            </w:r>
            <w:r w:rsidRPr="001C65FA">
              <w:rPr>
                <w:lang w:val="en-GB"/>
              </w:rPr>
              <w:t xml:space="preserve"> </w:t>
            </w:r>
            <w:r w:rsidRPr="001C65FA">
              <w:rPr>
                <w:lang w:val="en-GB"/>
              </w:rPr>
              <w:lastRenderedPageBreak/>
              <w:t xml:space="preserve">of the </w:t>
            </w:r>
            <w:proofErr w:type="spellStart"/>
            <w:r w:rsidRPr="001C65FA">
              <w:rPr>
                <w:lang w:val="en-GB"/>
              </w:rPr>
              <w:t>Interreg</w:t>
            </w:r>
            <w:proofErr w:type="spellEnd"/>
            <w:r w:rsidRPr="001C65FA">
              <w:rPr>
                <w:lang w:val="en-GB"/>
              </w:rPr>
              <w:t xml:space="preserve"> regulation before approval and only relevant projects </w:t>
            </w:r>
            <w:r w:rsidR="00F368D7">
              <w:rPr>
                <w:lang w:val="en-GB"/>
              </w:rPr>
              <w:t>are</w:t>
            </w:r>
            <w:r w:rsidRPr="001C65FA">
              <w:rPr>
                <w:lang w:val="en-GB"/>
              </w:rPr>
              <w:t xml:space="preserve"> approved</w:t>
            </w:r>
            <w:r w:rsidR="00D3047E">
              <w:rPr>
                <w:lang w:val="en-GB"/>
              </w:rPr>
              <w:t xml:space="preserve"> by the</w:t>
            </w:r>
            <w:r w:rsidR="00D3047E" w:rsidRPr="001C65FA">
              <w:rPr>
                <w:lang w:val="en-GB"/>
              </w:rPr>
              <w:t xml:space="preserve"> Monitoring Committee</w:t>
            </w:r>
            <w:r w:rsidRPr="001C65FA">
              <w:rPr>
                <w:lang w:val="en-GB"/>
              </w:rPr>
              <w:t xml:space="preserve">. The quality criteria are published with the call for proposal and equally applied to all </w:t>
            </w:r>
            <w:r>
              <w:rPr>
                <w:lang w:val="en-GB"/>
              </w:rPr>
              <w:t xml:space="preserve">small-scale </w:t>
            </w:r>
            <w:r w:rsidRPr="001C65FA">
              <w:rPr>
                <w:lang w:val="en-GB"/>
              </w:rPr>
              <w:t>project applications.</w:t>
            </w:r>
          </w:p>
          <w:p w14:paraId="5DD5DC71" w14:textId="7AEE97CF" w:rsidR="002539A4" w:rsidRDefault="00C24DA6" w:rsidP="002539A4">
            <w:pPr>
              <w:rPr>
                <w:lang w:val="en-GB"/>
              </w:rPr>
            </w:pPr>
            <w:r>
              <w:rPr>
                <w:lang w:val="en-GB"/>
              </w:rPr>
              <w:t>T</w:t>
            </w:r>
            <w:r w:rsidR="001C65FA">
              <w:rPr>
                <w:lang w:val="en-GB"/>
              </w:rPr>
              <w:t xml:space="preserve">he risk </w:t>
            </w:r>
            <w:r w:rsidR="00801656">
              <w:rPr>
                <w:lang w:val="en-GB"/>
              </w:rPr>
              <w:t>of the project not being implemented after the first 10% of project value is reimbursed</w:t>
            </w:r>
            <w:r w:rsidR="001C65FA">
              <w:rPr>
                <w:lang w:val="en-GB"/>
              </w:rPr>
              <w:t xml:space="preserve"> </w:t>
            </w:r>
            <w:r>
              <w:rPr>
                <w:lang w:val="en-GB"/>
              </w:rPr>
              <w:t>is classified as</w:t>
            </w:r>
            <w:r w:rsidR="001C65FA">
              <w:rPr>
                <w:lang w:val="en-GB"/>
              </w:rPr>
              <w:t xml:space="preserve"> low and the</w:t>
            </w:r>
            <w:r w:rsidR="002539A4">
              <w:rPr>
                <w:lang w:val="en-GB"/>
              </w:rPr>
              <w:t xml:space="preserve"> risk of</w:t>
            </w:r>
            <w:r w:rsidR="00801656">
              <w:rPr>
                <w:lang w:val="en-GB"/>
              </w:rPr>
              <w:t xml:space="preserve"> the number of participants</w:t>
            </w:r>
            <w:r w:rsidR="001C65FA">
              <w:rPr>
                <w:lang w:val="en-GB"/>
              </w:rPr>
              <w:t xml:space="preserve"> at the events</w:t>
            </w:r>
            <w:r w:rsidR="00801656">
              <w:rPr>
                <w:lang w:val="en-GB"/>
              </w:rPr>
              <w:t xml:space="preserve"> not reach</w:t>
            </w:r>
            <w:r w:rsidR="002539A4">
              <w:rPr>
                <w:lang w:val="en-GB"/>
              </w:rPr>
              <w:t>ing</w:t>
            </w:r>
            <w:r w:rsidR="00801656">
              <w:rPr>
                <w:lang w:val="en-GB"/>
              </w:rPr>
              <w:t xml:space="preserve"> the set value</w:t>
            </w:r>
            <w:r w:rsidR="001C65FA">
              <w:rPr>
                <w:lang w:val="en-GB"/>
              </w:rPr>
              <w:t xml:space="preserve"> also (low)</w:t>
            </w:r>
            <w:r w:rsidR="00801656">
              <w:rPr>
                <w:lang w:val="en-GB"/>
              </w:rPr>
              <w:t xml:space="preserve">. </w:t>
            </w:r>
          </w:p>
          <w:p w14:paraId="70B3245C" w14:textId="28B96D04" w:rsidR="0016765E" w:rsidRPr="00737DA5" w:rsidRDefault="00801656" w:rsidP="00B219EB">
            <w:pPr>
              <w:rPr>
                <w:lang w:val="en-GB"/>
              </w:rPr>
            </w:pPr>
            <w:r>
              <w:rPr>
                <w:lang w:val="en-GB"/>
              </w:rPr>
              <w:t xml:space="preserve">To avoid </w:t>
            </w:r>
            <w:r w:rsidR="00404DF2">
              <w:rPr>
                <w:lang w:val="en-GB"/>
              </w:rPr>
              <w:t>unfortunate</w:t>
            </w:r>
            <w:r>
              <w:rPr>
                <w:lang w:val="en-GB"/>
              </w:rPr>
              <w:t xml:space="preserve"> scenarios, monitoring of project implementation </w:t>
            </w:r>
            <w:r w:rsidR="00E158C7">
              <w:rPr>
                <w:lang w:val="en-GB"/>
              </w:rPr>
              <w:t xml:space="preserve">could </w:t>
            </w:r>
            <w:r>
              <w:rPr>
                <w:lang w:val="en-GB"/>
              </w:rPr>
              <w:t xml:space="preserve">be done six months after start of the project. The partners will be </w:t>
            </w:r>
            <w:r w:rsidRPr="00801656">
              <w:rPr>
                <w:lang w:val="en-GB"/>
              </w:rPr>
              <w:t>encourage</w:t>
            </w:r>
            <w:r>
              <w:rPr>
                <w:lang w:val="en-GB"/>
              </w:rPr>
              <w:t>d</w:t>
            </w:r>
            <w:r w:rsidRPr="00801656">
              <w:rPr>
                <w:lang w:val="en-GB"/>
              </w:rPr>
              <w:t xml:space="preserve"> to hold </w:t>
            </w:r>
            <w:r w:rsidR="002006DC">
              <w:rPr>
                <w:lang w:val="en-GB"/>
              </w:rPr>
              <w:t xml:space="preserve">the </w:t>
            </w:r>
            <w:r w:rsidRPr="00801656">
              <w:rPr>
                <w:lang w:val="en-GB"/>
              </w:rPr>
              <w:t>events with more than the minimum required participants in order to ensure better quality of events.</w:t>
            </w:r>
            <w:r w:rsidR="00C24DA6">
              <w:rPr>
                <w:lang w:val="en-GB"/>
              </w:rPr>
              <w:t xml:space="preserve"> As a consequence of not reaching the obligatory no. of participants at the events additional events could be organized by partners</w:t>
            </w:r>
            <w:r w:rsidR="00B219EB">
              <w:rPr>
                <w:lang w:val="en-GB"/>
              </w:rPr>
              <w:t>.</w:t>
            </w:r>
            <w:r w:rsidR="00C24DA6">
              <w:rPr>
                <w:lang w:val="en-GB"/>
              </w:rPr>
              <w:t>.</w:t>
            </w:r>
          </w:p>
        </w:tc>
      </w:tr>
      <w:tr w:rsidR="0016765E" w:rsidRPr="00737DA5" w14:paraId="7F82375F" w14:textId="77777777" w:rsidTr="00B65532">
        <w:tc>
          <w:tcPr>
            <w:tcW w:w="6997" w:type="dxa"/>
          </w:tcPr>
          <w:p w14:paraId="05B50E89" w14:textId="550AE054" w:rsidR="0016765E" w:rsidRPr="00737DA5" w:rsidRDefault="0016765E" w:rsidP="00920ED8">
            <w:pPr>
              <w:rPr>
                <w:lang w:val="en-GB"/>
              </w:rPr>
            </w:pPr>
            <w:r w:rsidRPr="00737DA5">
              <w:rPr>
                <w:lang w:val="en-GB"/>
              </w:rPr>
              <w:lastRenderedPageBreak/>
              <w:t xml:space="preserve">1.12 Total amount (national and </w:t>
            </w:r>
            <w:r w:rsidR="00E96459">
              <w:rPr>
                <w:lang w:val="en-GB"/>
              </w:rPr>
              <w:t>Union</w:t>
            </w:r>
            <w:r w:rsidRPr="00737DA5">
              <w:rPr>
                <w:lang w:val="en-GB"/>
              </w:rPr>
              <w:t>) expected to be reimbursed by the Commission on this basis</w:t>
            </w:r>
          </w:p>
        </w:tc>
        <w:tc>
          <w:tcPr>
            <w:tcW w:w="6997" w:type="dxa"/>
          </w:tcPr>
          <w:p w14:paraId="0DFB5F43" w14:textId="649B82A6" w:rsidR="0016765E" w:rsidRPr="00737DA5" w:rsidRDefault="00894716" w:rsidP="00E13B4B">
            <w:pPr>
              <w:rPr>
                <w:lang w:val="en-GB"/>
              </w:rPr>
            </w:pPr>
            <w:r>
              <w:rPr>
                <w:lang w:val="en-GB"/>
              </w:rPr>
              <w:t xml:space="preserve">Total </w:t>
            </w:r>
            <w:r w:rsidR="00C24DA6">
              <w:rPr>
                <w:lang w:val="en-GB"/>
              </w:rPr>
              <w:t>reimbursed amount for the type I</w:t>
            </w:r>
            <w:r>
              <w:rPr>
                <w:lang w:val="en-GB"/>
              </w:rPr>
              <w:t xml:space="preserve"> projects is about </w:t>
            </w:r>
            <w:r w:rsidR="002A706C">
              <w:rPr>
                <w:lang w:val="en-GB"/>
              </w:rPr>
              <w:t>225.000,00 EUR (</w:t>
            </w:r>
            <w:r>
              <w:rPr>
                <w:lang w:val="en-GB"/>
              </w:rPr>
              <w:t xml:space="preserve">180.000,00 EUR ERDF (80%) and 45.000,00 EUR of national </w:t>
            </w:r>
            <w:r w:rsidR="002A706C">
              <w:rPr>
                <w:lang w:val="en-GB"/>
              </w:rPr>
              <w:t>contribution</w:t>
            </w:r>
            <w:r>
              <w:rPr>
                <w:lang w:val="en-GB"/>
              </w:rPr>
              <w:t>(20%)</w:t>
            </w:r>
            <w:r w:rsidR="002A706C">
              <w:rPr>
                <w:lang w:val="en-GB"/>
              </w:rPr>
              <w:t>)</w:t>
            </w:r>
            <w:r>
              <w:rPr>
                <w:lang w:val="en-GB"/>
              </w:rPr>
              <w:t>.</w:t>
            </w:r>
          </w:p>
        </w:tc>
      </w:tr>
      <w:tr w:rsidR="0016765E" w:rsidRPr="00737DA5" w14:paraId="18939932" w14:textId="77777777" w:rsidTr="00B65532">
        <w:tc>
          <w:tcPr>
            <w:tcW w:w="6997" w:type="dxa"/>
          </w:tcPr>
          <w:p w14:paraId="419333E5" w14:textId="1D4CE7BC" w:rsidR="0016765E" w:rsidRPr="00737DA5" w:rsidRDefault="0016765E" w:rsidP="00B65532">
            <w:pPr>
              <w:rPr>
                <w:lang w:val="en-GB"/>
              </w:rPr>
            </w:pPr>
            <w:r w:rsidRPr="00737DA5">
              <w:rPr>
                <w:lang w:val="en-GB"/>
              </w:rPr>
              <w:t>(</w:t>
            </w:r>
            <w:r w:rsidRPr="00737DA5">
              <w:rPr>
                <w:vertAlign w:val="superscript"/>
                <w:lang w:val="en-GB"/>
              </w:rPr>
              <w:t>1</w:t>
            </w:r>
            <w:r w:rsidRPr="00737DA5">
              <w:rPr>
                <w:lang w:val="en-GB"/>
              </w:rPr>
              <w:t>) Envisaged starting date of the selection of operations and envisaged final date of their completion (ref. Article 63(5) CPR).</w:t>
            </w:r>
          </w:p>
          <w:p w14:paraId="473A9FBF" w14:textId="2DAD6136" w:rsidR="0016765E" w:rsidRPr="00737DA5" w:rsidRDefault="0016765E" w:rsidP="00B65532">
            <w:pPr>
              <w:rPr>
                <w:lang w:val="en-GB"/>
              </w:rPr>
            </w:pPr>
            <w:r w:rsidRPr="00737DA5">
              <w:rPr>
                <w:lang w:val="en-GB"/>
              </w:rPr>
              <w:t>(</w:t>
            </w:r>
            <w:r w:rsidRPr="00737DA5">
              <w:rPr>
                <w:vertAlign w:val="superscript"/>
                <w:lang w:val="en-GB"/>
              </w:rPr>
              <w:t>2</w:t>
            </w:r>
            <w:r w:rsidRPr="00737DA5">
              <w:rPr>
                <w:lang w:val="en-GB"/>
              </w:rPr>
              <w:t xml:space="preserve">) For operations encompassing </w:t>
            </w:r>
            <w:proofErr w:type="spellStart"/>
            <w:r w:rsidR="00E96459">
              <w:t>several</w:t>
            </w:r>
            <w:proofErr w:type="spellEnd"/>
            <w:r w:rsidR="00E96459">
              <w:t xml:space="preserve"> </w:t>
            </w:r>
            <w:proofErr w:type="spellStart"/>
            <w:r w:rsidR="00E96459">
              <w:t>simplified</w:t>
            </w:r>
            <w:proofErr w:type="spellEnd"/>
            <w:r w:rsidR="00E96459">
              <w:t xml:space="preserve"> </w:t>
            </w:r>
            <w:proofErr w:type="spellStart"/>
            <w:r w:rsidR="00E96459">
              <w:t>cost</w:t>
            </w:r>
            <w:proofErr w:type="spellEnd"/>
            <w:r w:rsidR="00E96459">
              <w:t xml:space="preserve"> </w:t>
            </w:r>
            <w:proofErr w:type="spellStart"/>
            <w:r w:rsidR="00E96459">
              <w:t>options</w:t>
            </w:r>
            <w:proofErr w:type="spellEnd"/>
            <w:r w:rsidR="00E96459">
              <w:t xml:space="preserve"> </w:t>
            </w:r>
            <w:proofErr w:type="spellStart"/>
            <w:r w:rsidR="00E96459">
              <w:t>covering</w:t>
            </w:r>
            <w:proofErr w:type="spellEnd"/>
            <w:r w:rsidR="00E96459">
              <w:t xml:space="preserve"> </w:t>
            </w:r>
            <w:proofErr w:type="spellStart"/>
            <w:r w:rsidR="00E96459">
              <w:t>different</w:t>
            </w:r>
            <w:proofErr w:type="spellEnd"/>
            <w:r w:rsidR="00E96459">
              <w:t xml:space="preserve"> </w:t>
            </w:r>
            <w:proofErr w:type="spellStart"/>
            <w:r w:rsidR="00E96459">
              <w:t>categories</w:t>
            </w:r>
            <w:proofErr w:type="spellEnd"/>
            <w:r w:rsidR="00E96459">
              <w:t xml:space="preserve"> </w:t>
            </w:r>
            <w:proofErr w:type="spellStart"/>
            <w:r w:rsidR="00E96459">
              <w:t>of</w:t>
            </w:r>
            <w:proofErr w:type="spellEnd"/>
            <w:r w:rsidR="00E96459">
              <w:t xml:space="preserve"> </w:t>
            </w:r>
            <w:proofErr w:type="spellStart"/>
            <w:r w:rsidR="00E96459">
              <w:t>costs</w:t>
            </w:r>
            <w:proofErr w:type="spellEnd"/>
            <w:r w:rsidR="00E96459">
              <w:t xml:space="preserve">, </w:t>
            </w:r>
            <w:proofErr w:type="spellStart"/>
            <w:r w:rsidR="00E96459">
              <w:t>different</w:t>
            </w:r>
            <w:proofErr w:type="spellEnd"/>
            <w:r w:rsidR="00E96459">
              <w:t xml:space="preserve"> </w:t>
            </w:r>
            <w:proofErr w:type="spellStart"/>
            <w:r w:rsidR="00E96459">
              <w:t>projects</w:t>
            </w:r>
            <w:proofErr w:type="spellEnd"/>
            <w:r w:rsidR="00E96459">
              <w:t xml:space="preserve"> </w:t>
            </w:r>
            <w:proofErr w:type="spellStart"/>
            <w:r w:rsidR="00E96459">
              <w:t>or</w:t>
            </w:r>
            <w:proofErr w:type="spellEnd"/>
            <w:r w:rsidR="00E96459">
              <w:t xml:space="preserve"> </w:t>
            </w:r>
            <w:proofErr w:type="spellStart"/>
            <w:r w:rsidR="00E96459">
              <w:t>successive</w:t>
            </w:r>
            <w:proofErr w:type="spellEnd"/>
            <w:r w:rsidR="00E96459">
              <w:t xml:space="preserve"> </w:t>
            </w:r>
            <w:proofErr w:type="spellStart"/>
            <w:r w:rsidR="00E96459">
              <w:t>phases</w:t>
            </w:r>
            <w:proofErr w:type="spellEnd"/>
            <w:r w:rsidR="00E96459">
              <w:t xml:space="preserve"> </w:t>
            </w:r>
            <w:proofErr w:type="spellStart"/>
            <w:r w:rsidR="00E96459">
              <w:t>of</w:t>
            </w:r>
            <w:proofErr w:type="spellEnd"/>
            <w:r w:rsidR="00E96459">
              <w:t xml:space="preserve"> </w:t>
            </w:r>
            <w:proofErr w:type="spellStart"/>
            <w:r w:rsidR="00E96459">
              <w:t>an</w:t>
            </w:r>
            <w:proofErr w:type="spellEnd"/>
            <w:r w:rsidR="00E96459">
              <w:t xml:space="preserve"> </w:t>
            </w:r>
            <w:proofErr w:type="spellStart"/>
            <w:r w:rsidR="00E96459">
              <w:t>operation</w:t>
            </w:r>
            <w:proofErr w:type="spellEnd"/>
            <w:r w:rsidR="00E96459">
              <w:t xml:space="preserve">, </w:t>
            </w:r>
            <w:proofErr w:type="spellStart"/>
            <w:r w:rsidR="00E96459">
              <w:t>the</w:t>
            </w:r>
            <w:proofErr w:type="spellEnd"/>
            <w:r w:rsidR="00E96459">
              <w:t xml:space="preserve"> </w:t>
            </w:r>
            <w:proofErr w:type="spellStart"/>
            <w:r w:rsidR="00E96459">
              <w:t>fields</w:t>
            </w:r>
            <w:proofErr w:type="spellEnd"/>
            <w:r w:rsidR="00E96459">
              <w:t xml:space="preserve"> 3 to 11 </w:t>
            </w:r>
            <w:proofErr w:type="spellStart"/>
            <w:r w:rsidR="00E96459">
              <w:t>need</w:t>
            </w:r>
            <w:proofErr w:type="spellEnd"/>
            <w:r w:rsidR="00E96459">
              <w:t xml:space="preserve"> to be </w:t>
            </w:r>
            <w:proofErr w:type="spellStart"/>
            <w:r w:rsidR="00E96459">
              <w:t>filled</w:t>
            </w:r>
            <w:proofErr w:type="spellEnd"/>
            <w:r w:rsidR="00E96459">
              <w:t xml:space="preserve"> in </w:t>
            </w:r>
            <w:proofErr w:type="spellStart"/>
            <w:r w:rsidR="00E96459">
              <w:t>for</w:t>
            </w:r>
            <w:proofErr w:type="spellEnd"/>
            <w:r w:rsidR="00E96459">
              <w:t xml:space="preserve"> </w:t>
            </w:r>
            <w:proofErr w:type="spellStart"/>
            <w:r w:rsidR="00E96459">
              <w:t>each</w:t>
            </w:r>
            <w:proofErr w:type="spellEnd"/>
            <w:r w:rsidR="00E96459">
              <w:t xml:space="preserve"> </w:t>
            </w:r>
            <w:proofErr w:type="spellStart"/>
            <w:r w:rsidR="00E96459">
              <w:t>indicator</w:t>
            </w:r>
            <w:proofErr w:type="spellEnd"/>
            <w:r w:rsidR="00E96459">
              <w:t xml:space="preserve"> </w:t>
            </w:r>
            <w:proofErr w:type="spellStart"/>
            <w:r w:rsidR="00E96459">
              <w:t>triggering</w:t>
            </w:r>
            <w:proofErr w:type="spellEnd"/>
            <w:r w:rsidR="00E96459">
              <w:t xml:space="preserve"> </w:t>
            </w:r>
            <w:proofErr w:type="spellStart"/>
            <w:r w:rsidR="00E96459">
              <w:t>reimbursement</w:t>
            </w:r>
            <w:proofErr w:type="spellEnd"/>
            <w:r w:rsidRPr="00737DA5">
              <w:rPr>
                <w:lang w:val="en-GB"/>
              </w:rPr>
              <w:t>.</w:t>
            </w:r>
          </w:p>
          <w:p w14:paraId="2F0F4E23" w14:textId="77777777" w:rsidR="0016765E" w:rsidRPr="00737DA5" w:rsidRDefault="0016765E" w:rsidP="00B65532">
            <w:pPr>
              <w:rPr>
                <w:lang w:val="en-GB"/>
              </w:rPr>
            </w:pPr>
            <w:r w:rsidRPr="00737DA5">
              <w:rPr>
                <w:lang w:val="en-GB"/>
              </w:rPr>
              <w:t>(</w:t>
            </w:r>
            <w:r w:rsidRPr="00737DA5">
              <w:rPr>
                <w:vertAlign w:val="superscript"/>
                <w:lang w:val="en-GB"/>
              </w:rPr>
              <w:t>3</w:t>
            </w:r>
            <w:r w:rsidRPr="00737DA5">
              <w:rPr>
                <w:lang w:val="en-GB"/>
              </w:rPr>
              <w:t>) If applicable, indicate the frequency and timing of the adjustment and a clear reference to a specific indicator (including a link to the website where this indicator is published, if applicable).</w:t>
            </w:r>
          </w:p>
          <w:p w14:paraId="79354FD5" w14:textId="6F7724A3" w:rsidR="0016765E" w:rsidRPr="00737DA5" w:rsidRDefault="0016765E" w:rsidP="00B65532">
            <w:pPr>
              <w:rPr>
                <w:lang w:val="en-GB"/>
              </w:rPr>
            </w:pPr>
            <w:r w:rsidRPr="00737DA5">
              <w:rPr>
                <w:lang w:val="en-GB"/>
              </w:rPr>
              <w:t>(</w:t>
            </w:r>
            <w:r w:rsidRPr="00737DA5">
              <w:rPr>
                <w:vertAlign w:val="superscript"/>
                <w:lang w:val="en-GB"/>
              </w:rPr>
              <w:t>4</w:t>
            </w:r>
            <w:r w:rsidRPr="00737DA5">
              <w:rPr>
                <w:lang w:val="en-GB"/>
              </w:rPr>
              <w:t>) Are there any potential negative implications on the quality of the supported operations and, if so, what measures (</w:t>
            </w:r>
            <w:r w:rsidR="00E96459" w:rsidRPr="00E96459">
              <w:rPr>
                <w:lang w:val="en-GB"/>
              </w:rPr>
              <w:t xml:space="preserve">e.g. </w:t>
            </w:r>
            <w:r w:rsidRPr="00737DA5">
              <w:rPr>
                <w:lang w:val="en-GB"/>
              </w:rPr>
              <w:t>quality assurance) will be taken to offset this risk?</w:t>
            </w:r>
          </w:p>
        </w:tc>
        <w:tc>
          <w:tcPr>
            <w:tcW w:w="6997" w:type="dxa"/>
          </w:tcPr>
          <w:p w14:paraId="0D448449" w14:textId="77777777" w:rsidR="0016765E" w:rsidRPr="00737DA5" w:rsidRDefault="0016765E" w:rsidP="00273982">
            <w:pPr>
              <w:rPr>
                <w:lang w:val="en-GB"/>
              </w:rPr>
            </w:pPr>
          </w:p>
        </w:tc>
      </w:tr>
    </w:tbl>
    <w:p w14:paraId="7168E13D" w14:textId="77777777" w:rsidR="00B65532" w:rsidRPr="00737DA5" w:rsidRDefault="00B65532" w:rsidP="00E53254">
      <w:pPr>
        <w:rPr>
          <w:lang w:val="en-GB"/>
        </w:rPr>
      </w:pPr>
    </w:p>
    <w:tbl>
      <w:tblPr>
        <w:tblStyle w:val="Tabelamrea"/>
        <w:tblW w:w="0" w:type="auto"/>
        <w:tblLook w:val="04A0" w:firstRow="1" w:lastRow="0" w:firstColumn="1" w:lastColumn="0" w:noHBand="0" w:noVBand="1"/>
      </w:tblPr>
      <w:tblGrid>
        <w:gridCol w:w="6997"/>
        <w:gridCol w:w="6997"/>
      </w:tblGrid>
      <w:tr w:rsidR="00CC132F" w:rsidRPr="00737DA5" w14:paraId="71F82377" w14:textId="77777777" w:rsidTr="00A52926">
        <w:tc>
          <w:tcPr>
            <w:tcW w:w="6997" w:type="dxa"/>
          </w:tcPr>
          <w:p w14:paraId="5F95C556" w14:textId="77777777" w:rsidR="00CC132F" w:rsidRPr="00737DA5" w:rsidRDefault="00CC132F" w:rsidP="00A52926">
            <w:pPr>
              <w:rPr>
                <w:lang w:val="en-GB"/>
              </w:rPr>
            </w:pPr>
            <w:r w:rsidRPr="00737DA5">
              <w:rPr>
                <w:lang w:val="en-GB"/>
              </w:rPr>
              <w:t>1.1 Description of the operation type including the timeline for implementation(</w:t>
            </w:r>
            <w:r w:rsidRPr="00737DA5">
              <w:rPr>
                <w:vertAlign w:val="superscript"/>
                <w:lang w:val="en-GB"/>
              </w:rPr>
              <w:t>1</w:t>
            </w:r>
            <w:r w:rsidRPr="00737DA5">
              <w:rPr>
                <w:lang w:val="en-GB"/>
              </w:rPr>
              <w:t>)</w:t>
            </w:r>
          </w:p>
        </w:tc>
        <w:tc>
          <w:tcPr>
            <w:tcW w:w="6997" w:type="dxa"/>
          </w:tcPr>
          <w:p w14:paraId="7B2D7706" w14:textId="6DC75F0F" w:rsidR="00323AB7" w:rsidRDefault="00323AB7" w:rsidP="00323AB7">
            <w:pPr>
              <w:jc w:val="both"/>
              <w:rPr>
                <w:rFonts w:cstheme="minorHAnsi"/>
                <w:lang w:val="en-GB"/>
              </w:rPr>
            </w:pPr>
            <w:r>
              <w:rPr>
                <w:rFonts w:cstheme="minorHAnsi"/>
                <w:lang w:val="en-GB"/>
              </w:rPr>
              <w:t>The calculated unit cost will be applicable only for small-scale projects, which are imple</w:t>
            </w:r>
            <w:r w:rsidR="009803A5">
              <w:rPr>
                <w:rFonts w:cstheme="minorHAnsi"/>
                <w:lang w:val="en-GB"/>
              </w:rPr>
              <w:t>mented exclusively under ISO1 (SO6.3)</w:t>
            </w:r>
            <w:r>
              <w:rPr>
                <w:rFonts w:cstheme="minorHAnsi"/>
                <w:lang w:val="en-GB"/>
              </w:rPr>
              <w:t xml:space="preserve">. </w:t>
            </w:r>
            <w:r w:rsidRPr="00903A00">
              <w:rPr>
                <w:rFonts w:cstheme="minorHAnsi"/>
                <w:lang w:val="en-GB"/>
              </w:rPr>
              <w:t>Small-scale projects w</w:t>
            </w:r>
            <w:r>
              <w:rPr>
                <w:rFonts w:cstheme="minorHAnsi"/>
                <w:lang w:val="en-GB"/>
              </w:rPr>
              <w:t>ill</w:t>
            </w:r>
            <w:r w:rsidRPr="00903A00">
              <w:rPr>
                <w:rFonts w:cstheme="minorHAnsi"/>
                <w:lang w:val="en-GB"/>
              </w:rPr>
              <w:t xml:space="preserve"> be used to address the specific aim to enhance people-to-people activities. </w:t>
            </w:r>
          </w:p>
          <w:p w14:paraId="1A3C195E" w14:textId="77777777" w:rsidR="00323AB7" w:rsidRPr="00903A00" w:rsidRDefault="00323AB7" w:rsidP="00323AB7">
            <w:pPr>
              <w:jc w:val="both"/>
              <w:rPr>
                <w:rFonts w:cstheme="minorHAnsi"/>
                <w:lang w:val="en-GB"/>
              </w:rPr>
            </w:pPr>
            <w:r w:rsidRPr="00903A00">
              <w:rPr>
                <w:rFonts w:cstheme="minorHAnsi"/>
                <w:lang w:val="en-GB"/>
              </w:rPr>
              <w:t>A separate call (</w:t>
            </w:r>
            <w:r w:rsidRPr="00903A00">
              <w:rPr>
                <w:rFonts w:cstheme="minorHAnsi"/>
                <w:i/>
                <w:lang w:val="en-GB"/>
              </w:rPr>
              <w:t>submission open for 4-5 months)</w:t>
            </w:r>
            <w:r w:rsidRPr="00903A00">
              <w:rPr>
                <w:rFonts w:cstheme="minorHAnsi"/>
                <w:lang w:val="en-GB"/>
              </w:rPr>
              <w:t xml:space="preserve"> could be launched at the end of 2022 or in the beginning of 2023. All 3 defined types of operations would be subject of the same Call.</w:t>
            </w:r>
          </w:p>
          <w:p w14:paraId="646B54A7" w14:textId="77777777" w:rsidR="00CC132F" w:rsidRPr="001C717B" w:rsidRDefault="00CC132F" w:rsidP="00A52926">
            <w:pPr>
              <w:rPr>
                <w:rFonts w:asciiTheme="majorHAnsi" w:hAnsiTheme="majorHAnsi" w:cstheme="majorHAnsi"/>
                <w:lang w:val="en-GB"/>
              </w:rPr>
            </w:pPr>
          </w:p>
          <w:p w14:paraId="049B887A" w14:textId="77777777" w:rsidR="00CC132F" w:rsidRPr="001C717B" w:rsidRDefault="00CC132F" w:rsidP="00A52926">
            <w:pPr>
              <w:rPr>
                <w:rFonts w:cstheme="minorHAnsi"/>
                <w:b/>
                <w:lang w:val="en-GB"/>
              </w:rPr>
            </w:pPr>
            <w:r w:rsidRPr="001C717B">
              <w:rPr>
                <w:rFonts w:cstheme="minorHAnsi"/>
                <w:b/>
                <w:lang w:val="en-GB"/>
              </w:rPr>
              <w:t>Type II – Mutual trust building projects based on lump sum</w:t>
            </w:r>
          </w:p>
          <w:p w14:paraId="5DCF62D2" w14:textId="7F245AA8" w:rsidR="00A52926" w:rsidRPr="001C717B" w:rsidRDefault="00273982" w:rsidP="00A52926">
            <w:pPr>
              <w:rPr>
                <w:rFonts w:cstheme="minorHAnsi"/>
                <w:lang w:val="en-GB"/>
              </w:rPr>
            </w:pPr>
            <w:r w:rsidRPr="001C717B">
              <w:rPr>
                <w:rFonts w:cstheme="minorHAnsi"/>
                <w:lang w:val="en-GB"/>
              </w:rPr>
              <w:t xml:space="preserve">The project is at most 1 year long and supports </w:t>
            </w:r>
            <w:r w:rsidR="00323AB7">
              <w:rPr>
                <w:rFonts w:cstheme="minorHAnsi"/>
                <w:lang w:val="en-GB"/>
              </w:rPr>
              <w:t xml:space="preserve">public </w:t>
            </w:r>
            <w:r w:rsidRPr="001C717B">
              <w:rPr>
                <w:rFonts w:cstheme="minorHAnsi"/>
                <w:lang w:val="en-GB"/>
              </w:rPr>
              <w:t xml:space="preserve">events that </w:t>
            </w:r>
            <w:r w:rsidR="00737DA5" w:rsidRPr="001C717B">
              <w:rPr>
                <w:rFonts w:cstheme="minorHAnsi"/>
                <w:lang w:val="en-GB"/>
              </w:rPr>
              <w:t>strengthen</w:t>
            </w:r>
            <w:r w:rsidRPr="001C717B">
              <w:rPr>
                <w:rFonts w:cstheme="minorHAnsi"/>
                <w:lang w:val="en-GB"/>
              </w:rPr>
              <w:t xml:space="preserve"> mutual trust building. </w:t>
            </w:r>
          </w:p>
          <w:p w14:paraId="0A845CB8" w14:textId="77777777" w:rsidR="001C717B" w:rsidRPr="001C717B" w:rsidRDefault="00273982" w:rsidP="001C717B">
            <w:pPr>
              <w:jc w:val="both"/>
              <w:rPr>
                <w:rFonts w:cstheme="minorHAnsi"/>
                <w:lang w:val="en-GB"/>
              </w:rPr>
            </w:pPr>
            <w:r w:rsidRPr="001C717B">
              <w:rPr>
                <w:rFonts w:cstheme="minorHAnsi"/>
                <w:lang w:val="en-GB"/>
              </w:rPr>
              <w:t xml:space="preserve">Two 1-day events, each per </w:t>
            </w:r>
            <w:proofErr w:type="gramStart"/>
            <w:r w:rsidRPr="001C717B">
              <w:rPr>
                <w:rFonts w:cstheme="minorHAnsi"/>
                <w:lang w:val="en-GB"/>
              </w:rPr>
              <w:t>one member</w:t>
            </w:r>
            <w:proofErr w:type="gramEnd"/>
            <w:r w:rsidRPr="001C717B">
              <w:rPr>
                <w:rFonts w:cstheme="minorHAnsi"/>
                <w:lang w:val="en-GB"/>
              </w:rPr>
              <w:t xml:space="preserve"> state are required. Open events are considered, with approximately 200 people attending; such as concerts and markets/fairs. </w:t>
            </w:r>
          </w:p>
          <w:p w14:paraId="780EFC76" w14:textId="422B9A46" w:rsidR="001C717B" w:rsidRPr="001C717B" w:rsidRDefault="001C717B" w:rsidP="001C717B">
            <w:pPr>
              <w:jc w:val="both"/>
              <w:rPr>
                <w:rFonts w:cstheme="minorHAnsi"/>
                <w:lang w:val="en-GB"/>
              </w:rPr>
            </w:pPr>
            <w:r w:rsidRPr="001C717B">
              <w:rPr>
                <w:rFonts w:cstheme="minorHAnsi"/>
                <w:lang w:val="en-GB"/>
              </w:rPr>
              <w:t>Within t</w:t>
            </w:r>
            <w:r w:rsidR="00273982" w:rsidRPr="001C717B">
              <w:rPr>
                <w:rFonts w:cstheme="minorHAnsi"/>
                <w:lang w:val="en-GB"/>
              </w:rPr>
              <w:t xml:space="preserve">he proposed lump sum </w:t>
            </w:r>
            <w:r w:rsidRPr="001C717B">
              <w:rPr>
                <w:rFonts w:cstheme="minorHAnsi"/>
                <w:lang w:val="en-GB"/>
              </w:rPr>
              <w:t>all costs occurring in phases of preparation and project implementation (staff costs, administrative costs, travel and accommodation costs, translation/interpretation costs, venue (room, equipment), moderation of the event and catering) are included.</w:t>
            </w:r>
          </w:p>
        </w:tc>
      </w:tr>
      <w:tr w:rsidR="0040235A" w:rsidRPr="00737DA5" w14:paraId="771EA2F3" w14:textId="77777777" w:rsidTr="00A52926">
        <w:tc>
          <w:tcPr>
            <w:tcW w:w="6997" w:type="dxa"/>
          </w:tcPr>
          <w:p w14:paraId="57757BF3" w14:textId="6AA69C5C" w:rsidR="0040235A" w:rsidRPr="00737DA5" w:rsidRDefault="0040235A" w:rsidP="0040235A">
            <w:pPr>
              <w:rPr>
                <w:lang w:val="en-GB"/>
              </w:rPr>
            </w:pPr>
            <w:r w:rsidRPr="00737DA5">
              <w:rPr>
                <w:lang w:val="en-GB"/>
              </w:rPr>
              <w:t>1.2 Specific objective</w:t>
            </w:r>
            <w:r w:rsidR="00E96459">
              <w:rPr>
                <w:lang w:val="en-GB"/>
              </w:rPr>
              <w:t>(s)</w:t>
            </w:r>
          </w:p>
        </w:tc>
        <w:tc>
          <w:tcPr>
            <w:tcW w:w="6997" w:type="dxa"/>
          </w:tcPr>
          <w:p w14:paraId="5120EC86" w14:textId="62CBFC2E" w:rsidR="0040235A" w:rsidRPr="001C717B" w:rsidRDefault="009803A5" w:rsidP="009803A5">
            <w:pPr>
              <w:rPr>
                <w:lang w:val="en-GB"/>
              </w:rPr>
            </w:pPr>
            <w:r>
              <w:rPr>
                <w:lang w:val="en-GB"/>
              </w:rPr>
              <w:t>Priority axis 3, ISO1</w:t>
            </w:r>
            <w:r w:rsidR="0040235A">
              <w:rPr>
                <w:lang w:val="en-GB"/>
              </w:rPr>
              <w:t xml:space="preserve"> (</w:t>
            </w:r>
            <w:r>
              <w:rPr>
                <w:lang w:val="en-GB"/>
              </w:rPr>
              <w:t>SO 6.3</w:t>
            </w:r>
            <w:r w:rsidR="0040235A">
              <w:rPr>
                <w:lang w:val="en-GB"/>
              </w:rPr>
              <w:t>)</w:t>
            </w:r>
          </w:p>
        </w:tc>
      </w:tr>
      <w:tr w:rsidR="0040235A" w:rsidRPr="00737DA5" w14:paraId="12ED59C7" w14:textId="77777777" w:rsidTr="00A52926">
        <w:tc>
          <w:tcPr>
            <w:tcW w:w="6997" w:type="dxa"/>
          </w:tcPr>
          <w:p w14:paraId="6D5E2F0C" w14:textId="77777777" w:rsidR="0040235A" w:rsidRPr="00737DA5" w:rsidRDefault="0040235A" w:rsidP="0040235A">
            <w:pPr>
              <w:rPr>
                <w:lang w:val="en-GB"/>
              </w:rPr>
            </w:pPr>
            <w:r w:rsidRPr="00737DA5">
              <w:rPr>
                <w:lang w:val="en-GB"/>
              </w:rPr>
              <w:t>1.3 Indicator triggering reimbursement(</w:t>
            </w:r>
            <w:r w:rsidRPr="00737DA5">
              <w:rPr>
                <w:vertAlign w:val="superscript"/>
                <w:lang w:val="en-GB"/>
              </w:rPr>
              <w:t>2</w:t>
            </w:r>
            <w:r w:rsidRPr="00737DA5">
              <w:rPr>
                <w:lang w:val="en-GB"/>
              </w:rPr>
              <w:t>)</w:t>
            </w:r>
          </w:p>
        </w:tc>
        <w:tc>
          <w:tcPr>
            <w:tcW w:w="6997" w:type="dxa"/>
          </w:tcPr>
          <w:p w14:paraId="4F134E29" w14:textId="77777777" w:rsidR="0040235A" w:rsidRPr="00737DA5" w:rsidRDefault="0040235A" w:rsidP="0040235A">
            <w:pPr>
              <w:rPr>
                <w:lang w:val="en-GB"/>
              </w:rPr>
            </w:pPr>
            <w:r w:rsidRPr="00737DA5">
              <w:rPr>
                <w:lang w:val="en-GB"/>
              </w:rPr>
              <w:t>- Sign</w:t>
            </w:r>
            <w:r>
              <w:rPr>
                <w:lang w:val="en-GB"/>
              </w:rPr>
              <w:t>ed</w:t>
            </w:r>
            <w:r w:rsidRPr="00737DA5">
              <w:rPr>
                <w:lang w:val="en-GB"/>
              </w:rPr>
              <w:t xml:space="preserve"> subsidy contract</w:t>
            </w:r>
            <w:r>
              <w:rPr>
                <w:lang w:val="en-GB"/>
              </w:rPr>
              <w:t xml:space="preserve"> </w:t>
            </w:r>
          </w:p>
          <w:p w14:paraId="1984B3AB" w14:textId="2FEC857A" w:rsidR="0040235A" w:rsidRPr="00935166" w:rsidRDefault="0040235A" w:rsidP="00EC58FE">
            <w:pPr>
              <w:rPr>
                <w:color w:val="538135" w:themeColor="accent6" w:themeShade="BF"/>
                <w:lang w:val="en-GB"/>
              </w:rPr>
            </w:pPr>
            <w:r w:rsidRPr="00737DA5">
              <w:rPr>
                <w:lang w:val="en-GB"/>
              </w:rPr>
              <w:t xml:space="preserve">- </w:t>
            </w:r>
            <w:r w:rsidRPr="00127959">
              <w:rPr>
                <w:lang w:val="en-GB"/>
              </w:rPr>
              <w:t xml:space="preserve">Implementation of </w:t>
            </w:r>
            <w:r w:rsidR="00EC58FE">
              <w:rPr>
                <w:lang w:val="en-GB"/>
              </w:rPr>
              <w:t xml:space="preserve">both </w:t>
            </w:r>
            <w:r w:rsidRPr="00127959">
              <w:rPr>
                <w:lang w:val="en-GB"/>
              </w:rPr>
              <w:t>planned events</w:t>
            </w:r>
          </w:p>
        </w:tc>
      </w:tr>
      <w:tr w:rsidR="0040235A" w:rsidRPr="00737DA5" w14:paraId="4245938D" w14:textId="77777777" w:rsidTr="00A52926">
        <w:tc>
          <w:tcPr>
            <w:tcW w:w="6997" w:type="dxa"/>
          </w:tcPr>
          <w:p w14:paraId="3699D2AD" w14:textId="77777777" w:rsidR="0040235A" w:rsidRPr="00737DA5" w:rsidRDefault="0040235A" w:rsidP="0040235A">
            <w:pPr>
              <w:rPr>
                <w:lang w:val="en-GB"/>
              </w:rPr>
            </w:pPr>
            <w:r w:rsidRPr="00737DA5">
              <w:rPr>
                <w:lang w:val="en-GB"/>
              </w:rPr>
              <w:t>1.4 Unit of measurement for the indicator triggering reimbursement</w:t>
            </w:r>
          </w:p>
        </w:tc>
        <w:tc>
          <w:tcPr>
            <w:tcW w:w="6997" w:type="dxa"/>
          </w:tcPr>
          <w:p w14:paraId="5A43A79D" w14:textId="4169A199" w:rsidR="0040235A" w:rsidRPr="008B3FDD" w:rsidRDefault="0040235A" w:rsidP="0040235A">
            <w:pPr>
              <w:rPr>
                <w:lang w:val="en-GB"/>
              </w:rPr>
            </w:pPr>
            <w:r w:rsidRPr="008B3FDD">
              <w:rPr>
                <w:lang w:val="en-GB"/>
              </w:rPr>
              <w:t>Signed subsidy contract (10% of project value reimbursement)</w:t>
            </w:r>
          </w:p>
          <w:p w14:paraId="576B165B" w14:textId="3D8DB21D" w:rsidR="0040235A" w:rsidRPr="008B3FDD" w:rsidRDefault="0040235A" w:rsidP="00EC58FE">
            <w:pPr>
              <w:rPr>
                <w:lang w:val="en-GB"/>
              </w:rPr>
            </w:pPr>
            <w:r w:rsidRPr="008B3FDD">
              <w:rPr>
                <w:lang w:val="en-GB"/>
              </w:rPr>
              <w:t xml:space="preserve">Implementation of </w:t>
            </w:r>
            <w:r w:rsidR="00EC58FE">
              <w:rPr>
                <w:lang w:val="en-GB"/>
              </w:rPr>
              <w:t>both</w:t>
            </w:r>
            <w:r w:rsidR="00EC58FE" w:rsidRPr="008B3FDD">
              <w:rPr>
                <w:lang w:val="en-GB"/>
              </w:rPr>
              <w:t xml:space="preserve"> </w:t>
            </w:r>
            <w:r w:rsidRPr="008B3FDD">
              <w:rPr>
                <w:lang w:val="en-GB"/>
              </w:rPr>
              <w:t>events (the rest of the project value)</w:t>
            </w:r>
          </w:p>
        </w:tc>
      </w:tr>
      <w:tr w:rsidR="0040235A" w:rsidRPr="00737DA5" w14:paraId="3A3164CE" w14:textId="77777777" w:rsidTr="00A52926">
        <w:tc>
          <w:tcPr>
            <w:tcW w:w="6997" w:type="dxa"/>
          </w:tcPr>
          <w:p w14:paraId="023A50AF" w14:textId="77777777" w:rsidR="0040235A" w:rsidRPr="00737DA5" w:rsidRDefault="0040235A" w:rsidP="0040235A">
            <w:pPr>
              <w:rPr>
                <w:lang w:val="en-GB"/>
              </w:rPr>
            </w:pPr>
            <w:r w:rsidRPr="00737DA5">
              <w:rPr>
                <w:lang w:val="en-GB"/>
              </w:rPr>
              <w:t>1.5 Standard scale of unit cost, lump sum or flat rate</w:t>
            </w:r>
          </w:p>
        </w:tc>
        <w:tc>
          <w:tcPr>
            <w:tcW w:w="6997" w:type="dxa"/>
          </w:tcPr>
          <w:p w14:paraId="1235EF7E" w14:textId="325CEA96" w:rsidR="0040235A" w:rsidRPr="00935166" w:rsidRDefault="0040235A" w:rsidP="0040235A">
            <w:pPr>
              <w:rPr>
                <w:color w:val="538135" w:themeColor="accent6" w:themeShade="BF"/>
                <w:lang w:val="en-GB"/>
              </w:rPr>
            </w:pPr>
            <w:r w:rsidRPr="008B3FDD">
              <w:rPr>
                <w:lang w:val="en-GB"/>
              </w:rPr>
              <w:t>Lump sum</w:t>
            </w:r>
          </w:p>
        </w:tc>
      </w:tr>
      <w:tr w:rsidR="0040235A" w:rsidRPr="00737DA5" w14:paraId="11AAB8D8" w14:textId="77777777" w:rsidTr="00A52926">
        <w:tc>
          <w:tcPr>
            <w:tcW w:w="6997" w:type="dxa"/>
          </w:tcPr>
          <w:p w14:paraId="13F50DE0" w14:textId="79313E7E" w:rsidR="0040235A" w:rsidRPr="00737DA5" w:rsidRDefault="0040235A" w:rsidP="00920ED8">
            <w:pPr>
              <w:rPr>
                <w:lang w:val="en-GB"/>
              </w:rPr>
            </w:pPr>
            <w:r w:rsidRPr="00737DA5">
              <w:rPr>
                <w:lang w:val="en-GB"/>
              </w:rPr>
              <w:t xml:space="preserve">1.6 Amount per unit of measurement or percentage (for flat rates) of the </w:t>
            </w:r>
            <w:r w:rsidR="00E96459">
              <w:rPr>
                <w:lang w:val="en-GB"/>
              </w:rPr>
              <w:t>SCO</w:t>
            </w:r>
          </w:p>
        </w:tc>
        <w:tc>
          <w:tcPr>
            <w:tcW w:w="6997" w:type="dxa"/>
          </w:tcPr>
          <w:p w14:paraId="6F39A639" w14:textId="6ACA4CE0" w:rsidR="0040235A" w:rsidRPr="00935166" w:rsidRDefault="00160920" w:rsidP="00160920">
            <w:pPr>
              <w:rPr>
                <w:color w:val="538135" w:themeColor="accent6" w:themeShade="BF"/>
                <w:lang w:val="en-GB"/>
              </w:rPr>
            </w:pPr>
            <w:r>
              <w:rPr>
                <w:b/>
                <w:lang w:val="en-GB"/>
              </w:rPr>
              <w:t>31.250,0</w:t>
            </w:r>
            <w:r w:rsidR="0040235A" w:rsidRPr="002B7706">
              <w:rPr>
                <w:b/>
                <w:lang w:val="en-GB"/>
              </w:rPr>
              <w:t>0 EUR</w:t>
            </w:r>
          </w:p>
        </w:tc>
      </w:tr>
      <w:tr w:rsidR="0040235A" w:rsidRPr="00737DA5" w14:paraId="22196232" w14:textId="77777777" w:rsidTr="00A52926">
        <w:tc>
          <w:tcPr>
            <w:tcW w:w="6997" w:type="dxa"/>
          </w:tcPr>
          <w:p w14:paraId="5D81EBBE" w14:textId="77777777" w:rsidR="0040235A" w:rsidRPr="00737DA5" w:rsidRDefault="0040235A" w:rsidP="0040235A">
            <w:pPr>
              <w:rPr>
                <w:lang w:val="en-GB"/>
              </w:rPr>
            </w:pPr>
            <w:r w:rsidRPr="00737DA5">
              <w:rPr>
                <w:lang w:val="en-GB"/>
              </w:rPr>
              <w:t>1.7 Categories of costs covered by the unit cost, lump sum or flat rate</w:t>
            </w:r>
          </w:p>
        </w:tc>
        <w:tc>
          <w:tcPr>
            <w:tcW w:w="6997" w:type="dxa"/>
          </w:tcPr>
          <w:p w14:paraId="54648B39" w14:textId="62CD4685" w:rsidR="0040235A" w:rsidRDefault="0040235A" w:rsidP="0040235A">
            <w:pPr>
              <w:rPr>
                <w:lang w:val="en-GB"/>
              </w:rPr>
            </w:pPr>
            <w:r>
              <w:rPr>
                <w:lang w:val="en-GB"/>
              </w:rPr>
              <w:t xml:space="preserve">By lump sum </w:t>
            </w:r>
            <w:r w:rsidR="00C13F99">
              <w:rPr>
                <w:lang w:val="en-GB"/>
              </w:rPr>
              <w:t xml:space="preserve">all cost </w:t>
            </w:r>
            <w:r>
              <w:rPr>
                <w:lang w:val="en-GB"/>
              </w:rPr>
              <w:t>categories are covered.</w:t>
            </w:r>
          </w:p>
          <w:p w14:paraId="46B4D342" w14:textId="5D2E2332" w:rsidR="0040235A" w:rsidRPr="00935166" w:rsidRDefault="0040235A" w:rsidP="0040235A">
            <w:pPr>
              <w:rPr>
                <w:color w:val="538135" w:themeColor="accent6" w:themeShade="BF"/>
                <w:lang w:val="en-GB"/>
              </w:rPr>
            </w:pPr>
            <w:r>
              <w:rPr>
                <w:lang w:val="en-GB"/>
              </w:rPr>
              <w:t>See Methodology II (C.3 below).</w:t>
            </w:r>
          </w:p>
        </w:tc>
      </w:tr>
      <w:tr w:rsidR="0040235A" w:rsidRPr="00737DA5" w14:paraId="48438496" w14:textId="77777777" w:rsidTr="00A52926">
        <w:tc>
          <w:tcPr>
            <w:tcW w:w="6997" w:type="dxa"/>
          </w:tcPr>
          <w:p w14:paraId="42D8DC20" w14:textId="77777777" w:rsidR="0040235A" w:rsidRPr="00737DA5" w:rsidRDefault="0040235A" w:rsidP="0040235A">
            <w:pPr>
              <w:rPr>
                <w:lang w:val="en-GB"/>
              </w:rPr>
            </w:pPr>
            <w:r w:rsidRPr="00737DA5">
              <w:rPr>
                <w:lang w:val="en-GB"/>
              </w:rPr>
              <w:t>1.8 Do these categories of costs cover all eligible expenditure for the operation? (Y/N)</w:t>
            </w:r>
          </w:p>
        </w:tc>
        <w:tc>
          <w:tcPr>
            <w:tcW w:w="6997" w:type="dxa"/>
          </w:tcPr>
          <w:p w14:paraId="148187CD" w14:textId="77777777" w:rsidR="0040235A" w:rsidRPr="008B3FDD" w:rsidRDefault="0040235A" w:rsidP="0040235A">
            <w:pPr>
              <w:rPr>
                <w:lang w:val="en-GB"/>
              </w:rPr>
            </w:pPr>
            <w:r w:rsidRPr="008B3FDD">
              <w:rPr>
                <w:lang w:val="en-GB"/>
              </w:rPr>
              <w:t>Yes</w:t>
            </w:r>
          </w:p>
        </w:tc>
      </w:tr>
      <w:tr w:rsidR="0040235A" w:rsidRPr="00737DA5" w14:paraId="3AF66B40" w14:textId="77777777" w:rsidTr="00A52926">
        <w:tc>
          <w:tcPr>
            <w:tcW w:w="6997" w:type="dxa"/>
          </w:tcPr>
          <w:p w14:paraId="61424269" w14:textId="77777777" w:rsidR="0040235A" w:rsidRPr="00737DA5" w:rsidRDefault="0040235A" w:rsidP="0040235A">
            <w:pPr>
              <w:rPr>
                <w:lang w:val="en-GB"/>
              </w:rPr>
            </w:pPr>
            <w:r w:rsidRPr="00737DA5">
              <w:rPr>
                <w:lang w:val="en-GB"/>
              </w:rPr>
              <w:t>1.9 Adjustment(s) method(</w:t>
            </w:r>
            <w:r w:rsidRPr="00737DA5">
              <w:rPr>
                <w:vertAlign w:val="superscript"/>
                <w:lang w:val="en-GB"/>
              </w:rPr>
              <w:t>3</w:t>
            </w:r>
            <w:r w:rsidRPr="00737DA5">
              <w:rPr>
                <w:lang w:val="en-GB"/>
              </w:rPr>
              <w:t>)</w:t>
            </w:r>
          </w:p>
        </w:tc>
        <w:tc>
          <w:tcPr>
            <w:tcW w:w="6997" w:type="dxa"/>
          </w:tcPr>
          <w:p w14:paraId="45FAA0C4" w14:textId="701AEF83" w:rsidR="0040235A" w:rsidRPr="008B3FDD" w:rsidRDefault="0040235A" w:rsidP="0040235A">
            <w:pPr>
              <w:rPr>
                <w:lang w:val="en-GB"/>
              </w:rPr>
            </w:pPr>
            <w:r w:rsidRPr="008B3FDD">
              <w:rPr>
                <w:lang w:val="en-GB"/>
              </w:rPr>
              <w:t xml:space="preserve">Set amounts </w:t>
            </w:r>
            <w:r w:rsidR="00323AB7">
              <w:rPr>
                <w:lang w:val="en-GB"/>
              </w:rPr>
              <w:t>re</w:t>
            </w:r>
            <w:r w:rsidRPr="008B3FDD">
              <w:rPr>
                <w:lang w:val="en-GB"/>
              </w:rPr>
              <w:t>present the co-financing of projects to partners of both member states without any (later) adjustments.</w:t>
            </w:r>
          </w:p>
        </w:tc>
      </w:tr>
      <w:tr w:rsidR="0040235A" w:rsidRPr="00737DA5" w14:paraId="538D938C" w14:textId="77777777" w:rsidTr="00A52926">
        <w:tc>
          <w:tcPr>
            <w:tcW w:w="6997" w:type="dxa"/>
          </w:tcPr>
          <w:p w14:paraId="1A7D4D3F" w14:textId="77777777" w:rsidR="0040235A" w:rsidRPr="00737DA5" w:rsidRDefault="0040235A" w:rsidP="0040235A">
            <w:pPr>
              <w:rPr>
                <w:lang w:val="en-GB"/>
              </w:rPr>
            </w:pPr>
            <w:r w:rsidRPr="00737DA5">
              <w:rPr>
                <w:lang w:val="en-GB"/>
              </w:rPr>
              <w:t>1.10 Verification of the achievement of the units delivered</w:t>
            </w:r>
          </w:p>
          <w:p w14:paraId="540918F1" w14:textId="77777777" w:rsidR="0040235A" w:rsidRPr="00737DA5" w:rsidRDefault="0040235A" w:rsidP="0040235A">
            <w:pPr>
              <w:rPr>
                <w:lang w:val="en-GB"/>
              </w:rPr>
            </w:pPr>
            <w:r w:rsidRPr="00737DA5">
              <w:rPr>
                <w:lang w:val="en-GB"/>
              </w:rPr>
              <w:t>— describe what document(s)/system will be used to verify the achievement of the units delivered</w:t>
            </w:r>
          </w:p>
          <w:p w14:paraId="7C0EB215" w14:textId="77777777" w:rsidR="0040235A" w:rsidRPr="00737DA5" w:rsidRDefault="0040235A" w:rsidP="0040235A">
            <w:pPr>
              <w:rPr>
                <w:lang w:val="en-GB"/>
              </w:rPr>
            </w:pPr>
            <w:r w:rsidRPr="00737DA5">
              <w:rPr>
                <w:lang w:val="en-GB"/>
              </w:rPr>
              <w:t>—describe what will be checked and by whom during management verifications</w:t>
            </w:r>
          </w:p>
          <w:p w14:paraId="5AD2DC58" w14:textId="77777777" w:rsidR="0040235A" w:rsidRPr="00737DA5" w:rsidRDefault="0040235A" w:rsidP="0040235A">
            <w:pPr>
              <w:rPr>
                <w:lang w:val="en-GB"/>
              </w:rPr>
            </w:pPr>
            <w:r w:rsidRPr="00737DA5">
              <w:rPr>
                <w:lang w:val="en-GB"/>
              </w:rPr>
              <w:t>— describe what arrangements will be made to collect and store the relevant data/documents</w:t>
            </w:r>
          </w:p>
        </w:tc>
        <w:tc>
          <w:tcPr>
            <w:tcW w:w="6997" w:type="dxa"/>
          </w:tcPr>
          <w:p w14:paraId="665BFA9A" w14:textId="77777777" w:rsidR="0040235A" w:rsidRPr="00A71788" w:rsidRDefault="0040235A" w:rsidP="0040235A">
            <w:pPr>
              <w:rPr>
                <w:lang w:val="en-GB"/>
              </w:rPr>
            </w:pPr>
            <w:r w:rsidRPr="00A71788">
              <w:rPr>
                <w:lang w:val="en-GB"/>
              </w:rPr>
              <w:t xml:space="preserve">a) Obligatory documents are: </w:t>
            </w:r>
          </w:p>
          <w:p w14:paraId="71A9CF97" w14:textId="0DC838B4" w:rsidR="0040235A" w:rsidRDefault="0040235A" w:rsidP="0040235A">
            <w:pPr>
              <w:rPr>
                <w:lang w:val="en-GB"/>
              </w:rPr>
            </w:pPr>
            <w:r w:rsidRPr="00A71788">
              <w:rPr>
                <w:lang w:val="en-GB"/>
              </w:rPr>
              <w:t>- Signed subsidy contract</w:t>
            </w:r>
          </w:p>
          <w:p w14:paraId="3E917C14" w14:textId="23FC7873" w:rsidR="0040235A" w:rsidRPr="00A71788" w:rsidRDefault="0040235A" w:rsidP="0040235A">
            <w:pPr>
              <w:rPr>
                <w:lang w:val="en-GB"/>
              </w:rPr>
            </w:pPr>
            <w:r w:rsidRPr="00A71788">
              <w:rPr>
                <w:lang w:val="en-GB"/>
              </w:rPr>
              <w:t xml:space="preserve">- Lists of </w:t>
            </w:r>
            <w:r w:rsidR="00B219EB" w:rsidRPr="00160920">
              <w:rPr>
                <w:highlight w:val="yellow"/>
                <w:lang w:val="en-GB"/>
              </w:rPr>
              <w:t>service</w:t>
            </w:r>
            <w:r w:rsidR="00B219EB">
              <w:rPr>
                <w:lang w:val="en-GB"/>
              </w:rPr>
              <w:t xml:space="preserve"> providers</w:t>
            </w:r>
            <w:r w:rsidR="00891AB5">
              <w:rPr>
                <w:lang w:val="en-GB"/>
              </w:rPr>
              <w:t xml:space="preserve"> </w:t>
            </w:r>
            <w:r w:rsidRPr="00A71788">
              <w:rPr>
                <w:lang w:val="en-GB"/>
              </w:rPr>
              <w:t>(in the case of a cultural event, a list of program providers is required; in the case of a market/fair, a list of suppliers of goods and/or services</w:t>
            </w:r>
            <w:r w:rsidR="00891AB5">
              <w:rPr>
                <w:lang w:val="en-GB"/>
              </w:rPr>
              <w:t>)</w:t>
            </w:r>
            <w:r w:rsidRPr="00A71788">
              <w:rPr>
                <w:lang w:val="en-GB"/>
              </w:rPr>
              <w:t xml:space="preserve"> is required, </w:t>
            </w:r>
            <w:r w:rsidR="00EC58FE">
              <w:rPr>
                <w:lang w:val="en-GB"/>
              </w:rPr>
              <w:t>and the event report about each implemented event that must</w:t>
            </w:r>
            <w:r w:rsidRPr="00A71788">
              <w:rPr>
                <w:lang w:val="en-GB"/>
              </w:rPr>
              <w:t xml:space="preserve"> clearly describe </w:t>
            </w:r>
            <w:r w:rsidR="00EC58FE">
              <w:rPr>
                <w:lang w:val="en-GB"/>
              </w:rPr>
              <w:t>the event implementation (</w:t>
            </w:r>
            <w:r w:rsidRPr="00A71788">
              <w:rPr>
                <w:lang w:val="en-GB"/>
              </w:rPr>
              <w:t>in words and picture where and when the event took place; who attended and what was presented, offered and shared with the participants and in what way</w:t>
            </w:r>
            <w:r w:rsidR="00891AB5">
              <w:rPr>
                <w:lang w:val="en-GB"/>
              </w:rPr>
              <w:t>)</w:t>
            </w:r>
            <w:r w:rsidRPr="00A71788">
              <w:rPr>
                <w:lang w:val="en-GB"/>
              </w:rPr>
              <w:t>.</w:t>
            </w:r>
          </w:p>
          <w:p w14:paraId="1A8DD868" w14:textId="5CC57EA2" w:rsidR="0040235A" w:rsidRPr="00A71788" w:rsidRDefault="0040235A" w:rsidP="0040235A">
            <w:pPr>
              <w:rPr>
                <w:lang w:val="en-GB"/>
              </w:rPr>
            </w:pPr>
            <w:r w:rsidRPr="00A71788">
              <w:rPr>
                <w:lang w:val="en-GB"/>
              </w:rPr>
              <w:t xml:space="preserve">- In addition, about each event </w:t>
            </w:r>
            <w:r w:rsidR="005247B3">
              <w:rPr>
                <w:lang w:val="en-GB"/>
              </w:rPr>
              <w:t xml:space="preserve">at least </w:t>
            </w:r>
            <w:r w:rsidRPr="00A71788">
              <w:rPr>
                <w:lang w:val="en-GB"/>
              </w:rPr>
              <w:t>3 articles in different</w:t>
            </w:r>
            <w:r w:rsidR="00C430B3">
              <w:rPr>
                <w:lang w:val="en-GB"/>
              </w:rPr>
              <w:t xml:space="preserve"> </w:t>
            </w:r>
            <w:r w:rsidRPr="00A71788">
              <w:rPr>
                <w:lang w:val="en-GB"/>
              </w:rPr>
              <w:t xml:space="preserve">local media must be published. </w:t>
            </w:r>
          </w:p>
          <w:p w14:paraId="40FE8FDE" w14:textId="2A73157D" w:rsidR="0040235A" w:rsidRPr="00A71788" w:rsidRDefault="0040235A" w:rsidP="0040235A">
            <w:pPr>
              <w:rPr>
                <w:lang w:val="en-GB"/>
              </w:rPr>
            </w:pPr>
            <w:r w:rsidRPr="00A71788">
              <w:rPr>
                <w:lang w:val="en-GB"/>
              </w:rPr>
              <w:t>b) After sign</w:t>
            </w:r>
            <w:r w:rsidR="00910688">
              <w:rPr>
                <w:lang w:val="en-GB"/>
              </w:rPr>
              <w:t>ing the</w:t>
            </w:r>
            <w:r w:rsidRPr="00A71788">
              <w:rPr>
                <w:lang w:val="en-GB"/>
              </w:rPr>
              <w:t xml:space="preserve"> subsidy contract 10% of the project value is to be reimbursed. Lists of participants</w:t>
            </w:r>
            <w:r w:rsidR="00891AB5">
              <w:rPr>
                <w:lang w:val="en-GB"/>
              </w:rPr>
              <w:t xml:space="preserve"> and event reports</w:t>
            </w:r>
            <w:r w:rsidRPr="00A71788">
              <w:rPr>
                <w:lang w:val="en-GB"/>
              </w:rPr>
              <w:t xml:space="preserve"> will be checked. The</w:t>
            </w:r>
            <w:r w:rsidR="00910354">
              <w:rPr>
                <w:lang w:val="en-GB"/>
              </w:rPr>
              <w:t xml:space="preserve"> realisation of the operation is the key to trig</w:t>
            </w:r>
            <w:r w:rsidR="009803A5">
              <w:rPr>
                <w:lang w:val="en-GB"/>
              </w:rPr>
              <w:t>ger</w:t>
            </w:r>
            <w:r w:rsidR="00910354">
              <w:rPr>
                <w:lang w:val="en-GB"/>
              </w:rPr>
              <w:t xml:space="preserve"> </w:t>
            </w:r>
            <w:r w:rsidRPr="00A71788">
              <w:rPr>
                <w:lang w:val="en-GB"/>
              </w:rPr>
              <w:t>the</w:t>
            </w:r>
            <w:r w:rsidR="00910354">
              <w:rPr>
                <w:lang w:val="en-GB"/>
              </w:rPr>
              <w:t xml:space="preserve"> full payment (</w:t>
            </w:r>
            <w:r w:rsidRPr="00A71788">
              <w:rPr>
                <w:lang w:val="en-GB"/>
              </w:rPr>
              <w:t>after the last event is implemented</w:t>
            </w:r>
            <w:r w:rsidR="00910354">
              <w:rPr>
                <w:lang w:val="en-GB"/>
              </w:rPr>
              <w:t>)</w:t>
            </w:r>
            <w:r w:rsidRPr="00A71788">
              <w:rPr>
                <w:lang w:val="en-GB"/>
              </w:rPr>
              <w:t xml:space="preserve">. It will be checked whether translations and catering were carried out during the events, and whether the events were carried out at the location of the partners or at a rented location. </w:t>
            </w:r>
            <w:r w:rsidR="00910354">
              <w:rPr>
                <w:lang w:val="en-GB"/>
              </w:rPr>
              <w:t xml:space="preserve">It is essential to get assurance that the outputs/results reported are real. </w:t>
            </w:r>
            <w:r w:rsidR="00910354" w:rsidRPr="00562AA9">
              <w:rPr>
                <w:lang w:val="en-GB"/>
              </w:rPr>
              <w:t xml:space="preserve">The control thus consists </w:t>
            </w:r>
            <w:r w:rsidR="00E85CFF" w:rsidRPr="00562AA9">
              <w:rPr>
                <w:lang w:val="en-GB"/>
              </w:rPr>
              <w:t xml:space="preserve">of </w:t>
            </w:r>
            <w:r w:rsidR="00FE1BD3" w:rsidRPr="00562AA9">
              <w:rPr>
                <w:lang w:val="en-GB"/>
              </w:rPr>
              <w:t>checking</w:t>
            </w:r>
            <w:r w:rsidR="00910354" w:rsidRPr="00562AA9">
              <w:rPr>
                <w:lang w:val="en-GB"/>
              </w:rPr>
              <w:t xml:space="preserve"> whether the </w:t>
            </w:r>
            <w:r w:rsidR="00562AA9">
              <w:rPr>
                <w:lang w:val="en-GB"/>
              </w:rPr>
              <w:t>events were fully implemented</w:t>
            </w:r>
            <w:r w:rsidR="00FE1BD3" w:rsidRPr="00562AA9">
              <w:rPr>
                <w:lang w:val="en-GB"/>
              </w:rPr>
              <w:t xml:space="preserve"> and</w:t>
            </w:r>
            <w:r w:rsidR="00FE1BD3">
              <w:rPr>
                <w:lang w:val="en-GB"/>
              </w:rPr>
              <w:t xml:space="preserve"> the outputs/results were delivered in line with the conditions set by the programme authorities (the outputs/results need to be well documented). The actual costs borne by the beneficiary in relation to the delivered outputs/results will not be checked.</w:t>
            </w:r>
          </w:p>
          <w:p w14:paraId="00E21D2E" w14:textId="0F0005F1" w:rsidR="0040235A" w:rsidRPr="00A71788" w:rsidRDefault="009803A5" w:rsidP="0040235A">
            <w:pPr>
              <w:rPr>
                <w:highlight w:val="yellow"/>
                <w:lang w:val="en-GB"/>
              </w:rPr>
            </w:pPr>
            <w:r>
              <w:rPr>
                <w:lang w:val="en-GB"/>
              </w:rPr>
              <w:t>Control will be done by MA/JS;</w:t>
            </w:r>
            <w:r w:rsidR="0040235A" w:rsidRPr="00A71788">
              <w:rPr>
                <w:lang w:val="en-GB"/>
              </w:rPr>
              <w:t xml:space="preserve"> the original documentation is checked.</w:t>
            </w:r>
          </w:p>
          <w:p w14:paraId="528BAD8B" w14:textId="60C8956C" w:rsidR="0040235A" w:rsidRPr="00A71788" w:rsidRDefault="0040235A" w:rsidP="0040235A">
            <w:pPr>
              <w:rPr>
                <w:lang w:val="en-GB"/>
              </w:rPr>
            </w:pPr>
            <w:r w:rsidRPr="00A71788">
              <w:rPr>
                <w:lang w:val="en-GB"/>
              </w:rPr>
              <w:t xml:space="preserve">c) The original documents are kept by the project partners (beneficiaries) and </w:t>
            </w:r>
            <w:r w:rsidR="00A94261">
              <w:rPr>
                <w:lang w:val="en-GB"/>
              </w:rPr>
              <w:t xml:space="preserve">shall be made </w:t>
            </w:r>
            <w:r w:rsidRPr="00A71788">
              <w:rPr>
                <w:lang w:val="en-GB"/>
              </w:rPr>
              <w:t xml:space="preserve">available in case of site visits and/or audit controls. The relevant data/documents will be collected by beneficiaries and uploaded in </w:t>
            </w:r>
            <w:proofErr w:type="spellStart"/>
            <w:r w:rsidRPr="00A71788">
              <w:rPr>
                <w:lang w:val="en-GB"/>
              </w:rPr>
              <w:t>Jems</w:t>
            </w:r>
            <w:proofErr w:type="spellEnd"/>
            <w:r w:rsidRPr="00A71788">
              <w:rPr>
                <w:lang w:val="en-GB"/>
              </w:rPr>
              <w:t xml:space="preserve"> </w:t>
            </w:r>
            <w:r w:rsidR="009803A5">
              <w:rPr>
                <w:lang w:val="en-GB"/>
              </w:rPr>
              <w:t xml:space="preserve">monitoring system </w:t>
            </w:r>
            <w:r w:rsidRPr="00A71788">
              <w:rPr>
                <w:lang w:val="en-GB"/>
              </w:rPr>
              <w:t xml:space="preserve">in process of reporting. </w:t>
            </w:r>
          </w:p>
        </w:tc>
      </w:tr>
      <w:tr w:rsidR="0040235A" w:rsidRPr="00737DA5" w14:paraId="37252155" w14:textId="77777777" w:rsidTr="00A52926">
        <w:tc>
          <w:tcPr>
            <w:tcW w:w="6997" w:type="dxa"/>
          </w:tcPr>
          <w:p w14:paraId="79624AD5" w14:textId="77777777" w:rsidR="0040235A" w:rsidRPr="00737DA5" w:rsidRDefault="0040235A" w:rsidP="0040235A">
            <w:pPr>
              <w:rPr>
                <w:lang w:val="en-GB"/>
              </w:rPr>
            </w:pPr>
            <w:r w:rsidRPr="00737DA5">
              <w:rPr>
                <w:lang w:val="en-GB"/>
              </w:rPr>
              <w:t>1.11 Possible perverse incentives, mitigating measures(</w:t>
            </w:r>
            <w:r w:rsidRPr="00737DA5">
              <w:rPr>
                <w:vertAlign w:val="superscript"/>
                <w:lang w:val="en-GB"/>
              </w:rPr>
              <w:t>4</w:t>
            </w:r>
            <w:r w:rsidRPr="00737DA5">
              <w:rPr>
                <w:lang w:val="en-GB"/>
              </w:rPr>
              <w:t>) and the estimated level of risk (high/medium/low)</w:t>
            </w:r>
          </w:p>
        </w:tc>
        <w:tc>
          <w:tcPr>
            <w:tcW w:w="6997" w:type="dxa"/>
          </w:tcPr>
          <w:p w14:paraId="5CBA75D6" w14:textId="516BCD4F" w:rsidR="00021004" w:rsidRDefault="00D33DD8" w:rsidP="00021004">
            <w:pPr>
              <w:rPr>
                <w:lang w:val="en-GB"/>
              </w:rPr>
            </w:pPr>
            <w:r w:rsidRPr="001C65FA">
              <w:rPr>
                <w:lang w:val="en-GB"/>
              </w:rPr>
              <w:t>All project proposals are subject to an assessment, performed by the J</w:t>
            </w:r>
            <w:r w:rsidR="00021004">
              <w:rPr>
                <w:lang w:val="en-GB"/>
              </w:rPr>
              <w:t xml:space="preserve">oint </w:t>
            </w:r>
            <w:r w:rsidRPr="001C65FA">
              <w:rPr>
                <w:lang w:val="en-GB"/>
              </w:rPr>
              <w:t>S</w:t>
            </w:r>
            <w:r w:rsidR="00021004">
              <w:rPr>
                <w:lang w:val="en-GB"/>
              </w:rPr>
              <w:t>ecretariat</w:t>
            </w:r>
            <w:r w:rsidRPr="001C65FA">
              <w:rPr>
                <w:lang w:val="en-GB"/>
              </w:rPr>
              <w:t xml:space="preserve"> according to quality criteria in line with provisions of </w:t>
            </w:r>
            <w:r w:rsidRPr="00D33DD8">
              <w:rPr>
                <w:lang w:val="en-GB"/>
              </w:rPr>
              <w:t>Article 22</w:t>
            </w:r>
            <w:r w:rsidRPr="001C65FA">
              <w:rPr>
                <w:lang w:val="en-GB"/>
              </w:rPr>
              <w:t xml:space="preserve"> of the </w:t>
            </w:r>
            <w:proofErr w:type="spellStart"/>
            <w:r w:rsidRPr="001C65FA">
              <w:rPr>
                <w:lang w:val="en-GB"/>
              </w:rPr>
              <w:t>Interreg</w:t>
            </w:r>
            <w:proofErr w:type="spellEnd"/>
            <w:r w:rsidRPr="001C65FA">
              <w:rPr>
                <w:lang w:val="en-GB"/>
              </w:rPr>
              <w:t xml:space="preserve"> regulation before approval and only relevant projects </w:t>
            </w:r>
            <w:r w:rsidR="00021004">
              <w:rPr>
                <w:lang w:val="en-GB"/>
              </w:rPr>
              <w:t>ar</w:t>
            </w:r>
            <w:r w:rsidRPr="001C65FA">
              <w:rPr>
                <w:lang w:val="en-GB"/>
              </w:rPr>
              <w:t>e approved</w:t>
            </w:r>
            <w:r w:rsidR="00021004">
              <w:rPr>
                <w:lang w:val="en-GB"/>
              </w:rPr>
              <w:t xml:space="preserve"> by the Monitoring Committee</w:t>
            </w:r>
            <w:r w:rsidRPr="001C65FA">
              <w:rPr>
                <w:lang w:val="en-GB"/>
              </w:rPr>
              <w:t xml:space="preserve">. The quality criteria </w:t>
            </w:r>
            <w:r w:rsidR="00F45EA6">
              <w:rPr>
                <w:lang w:val="en-GB"/>
              </w:rPr>
              <w:t>will be</w:t>
            </w:r>
            <w:r w:rsidR="00F45EA6" w:rsidRPr="001C65FA">
              <w:rPr>
                <w:lang w:val="en-GB"/>
              </w:rPr>
              <w:t xml:space="preserve"> </w:t>
            </w:r>
            <w:r w:rsidRPr="001C65FA">
              <w:rPr>
                <w:lang w:val="en-GB"/>
              </w:rPr>
              <w:t xml:space="preserve">published with the call for proposal and equally applied to all </w:t>
            </w:r>
            <w:r>
              <w:rPr>
                <w:lang w:val="en-GB"/>
              </w:rPr>
              <w:t xml:space="preserve">small-scale </w:t>
            </w:r>
            <w:r w:rsidRPr="001C65FA">
              <w:rPr>
                <w:lang w:val="en-GB"/>
              </w:rPr>
              <w:t>project applications.</w:t>
            </w:r>
          </w:p>
          <w:p w14:paraId="6ABA86B4" w14:textId="0D6712C5" w:rsidR="0040235A" w:rsidRDefault="00C13F99" w:rsidP="0040235A">
            <w:pPr>
              <w:rPr>
                <w:lang w:val="en-GB"/>
              </w:rPr>
            </w:pPr>
            <w:r>
              <w:rPr>
                <w:lang w:val="en-GB"/>
              </w:rPr>
              <w:t xml:space="preserve">The </w:t>
            </w:r>
            <w:r w:rsidR="0040235A">
              <w:rPr>
                <w:lang w:val="en-GB"/>
              </w:rPr>
              <w:t>risk of the project not being implemented after the first 10% of project value is reimbursed</w:t>
            </w:r>
            <w:r>
              <w:rPr>
                <w:lang w:val="en-GB"/>
              </w:rPr>
              <w:t xml:space="preserve"> i</w:t>
            </w:r>
            <w:r w:rsidR="00F45EA6">
              <w:rPr>
                <w:lang w:val="en-GB"/>
              </w:rPr>
              <w:t>s</w:t>
            </w:r>
            <w:r>
              <w:rPr>
                <w:lang w:val="en-GB"/>
              </w:rPr>
              <w:t xml:space="preserve"> classified as low; as it</w:t>
            </w:r>
            <w:r w:rsidR="00891AB5">
              <w:rPr>
                <w:lang w:val="en-GB"/>
              </w:rPr>
              <w:t xml:space="preserve"> is</w:t>
            </w:r>
            <w:r>
              <w:rPr>
                <w:lang w:val="en-GB"/>
              </w:rPr>
              <w:t xml:space="preserve"> for the fulfilment of set </w:t>
            </w:r>
            <w:r w:rsidR="00F45EA6">
              <w:rPr>
                <w:lang w:val="en-GB"/>
              </w:rPr>
              <w:t xml:space="preserve">targets </w:t>
            </w:r>
            <w:r w:rsidR="0040235A">
              <w:rPr>
                <w:lang w:val="en-GB"/>
              </w:rPr>
              <w:t>(</w:t>
            </w:r>
            <w:r w:rsidR="00FB06DE">
              <w:rPr>
                <w:lang w:val="en-GB"/>
              </w:rPr>
              <w:t xml:space="preserve">e.g. number of </w:t>
            </w:r>
            <w:r w:rsidR="0040235A">
              <w:rPr>
                <w:lang w:val="en-GB"/>
              </w:rPr>
              <w:t>articles</w:t>
            </w:r>
            <w:r w:rsidR="009803A5">
              <w:rPr>
                <w:lang w:val="en-GB"/>
              </w:rPr>
              <w:t xml:space="preserve"> in the media</w:t>
            </w:r>
            <w:r w:rsidR="0040235A">
              <w:rPr>
                <w:lang w:val="en-GB"/>
              </w:rPr>
              <w:t xml:space="preserve">; </w:t>
            </w:r>
            <w:r w:rsidR="00FB06DE">
              <w:rPr>
                <w:lang w:val="en-GB"/>
              </w:rPr>
              <w:t xml:space="preserve">number of </w:t>
            </w:r>
            <w:r w:rsidR="0040235A">
              <w:rPr>
                <w:lang w:val="en-GB"/>
              </w:rPr>
              <w:t xml:space="preserve">providers at fairs coming from both countries). </w:t>
            </w:r>
          </w:p>
          <w:p w14:paraId="4ADDB993" w14:textId="34439AAF" w:rsidR="0040235A" w:rsidRPr="00737DA5" w:rsidRDefault="0040235A" w:rsidP="009803A5">
            <w:pPr>
              <w:rPr>
                <w:lang w:val="en-GB"/>
              </w:rPr>
            </w:pPr>
            <w:r>
              <w:rPr>
                <w:lang w:val="en-GB"/>
              </w:rPr>
              <w:t xml:space="preserve">To avoid </w:t>
            </w:r>
            <w:r w:rsidR="009803A5">
              <w:rPr>
                <w:lang w:val="en-GB"/>
              </w:rPr>
              <w:t>unfortunate</w:t>
            </w:r>
            <w:r>
              <w:rPr>
                <w:lang w:val="en-GB"/>
              </w:rPr>
              <w:t xml:space="preserve"> scenarios, monitoring of project implementation will be done </w:t>
            </w:r>
            <w:r w:rsidR="009F0DC2">
              <w:rPr>
                <w:lang w:val="en-GB"/>
              </w:rPr>
              <w:t xml:space="preserve">within </w:t>
            </w:r>
            <w:r>
              <w:rPr>
                <w:lang w:val="en-GB"/>
              </w:rPr>
              <w:t xml:space="preserve">six months after start of the project. The partners will be </w:t>
            </w:r>
            <w:r w:rsidRPr="00801656">
              <w:rPr>
                <w:lang w:val="en-GB"/>
              </w:rPr>
              <w:t>encourage</w:t>
            </w:r>
            <w:r>
              <w:rPr>
                <w:lang w:val="en-GB"/>
              </w:rPr>
              <w:t>d</w:t>
            </w:r>
            <w:r w:rsidRPr="00801656">
              <w:rPr>
                <w:lang w:val="en-GB"/>
              </w:rPr>
              <w:t xml:space="preserve"> to </w:t>
            </w:r>
            <w:r>
              <w:rPr>
                <w:lang w:val="en-GB"/>
              </w:rPr>
              <w:t xml:space="preserve">inform the public about the planned events via several media channels and invite more than </w:t>
            </w:r>
            <w:r w:rsidRPr="00801656">
              <w:rPr>
                <w:lang w:val="en-GB"/>
              </w:rPr>
              <w:t>the minimum required participants</w:t>
            </w:r>
            <w:r>
              <w:rPr>
                <w:lang w:val="en-GB"/>
              </w:rPr>
              <w:t xml:space="preserve"> (providers)</w:t>
            </w:r>
            <w:r w:rsidRPr="00801656">
              <w:rPr>
                <w:lang w:val="en-GB"/>
              </w:rPr>
              <w:t xml:space="preserve"> in order to ensure better quality of events</w:t>
            </w:r>
            <w:r>
              <w:rPr>
                <w:lang w:val="en-GB"/>
              </w:rPr>
              <w:t xml:space="preserve"> and results of the project</w:t>
            </w:r>
            <w:r w:rsidRPr="00801656">
              <w:rPr>
                <w:lang w:val="en-GB"/>
              </w:rPr>
              <w:t>.</w:t>
            </w:r>
            <w:r w:rsidR="00C13F99">
              <w:rPr>
                <w:lang w:val="en-GB"/>
              </w:rPr>
              <w:t xml:space="preserve"> </w:t>
            </w:r>
          </w:p>
        </w:tc>
      </w:tr>
      <w:tr w:rsidR="0040235A" w:rsidRPr="00737DA5" w14:paraId="087F78D3" w14:textId="77777777" w:rsidTr="00A52926">
        <w:tc>
          <w:tcPr>
            <w:tcW w:w="6997" w:type="dxa"/>
          </w:tcPr>
          <w:p w14:paraId="267C870F" w14:textId="77777777" w:rsidR="0040235A" w:rsidRPr="00737DA5" w:rsidRDefault="0040235A" w:rsidP="0040235A">
            <w:pPr>
              <w:rPr>
                <w:lang w:val="en-GB"/>
              </w:rPr>
            </w:pPr>
            <w:r w:rsidRPr="00737DA5">
              <w:rPr>
                <w:lang w:val="en-GB"/>
              </w:rPr>
              <w:t>1.12 Total amount (national and EU) expected to be reimbursed by the Commission on this basis</w:t>
            </w:r>
          </w:p>
        </w:tc>
        <w:tc>
          <w:tcPr>
            <w:tcW w:w="6997" w:type="dxa"/>
          </w:tcPr>
          <w:p w14:paraId="12560160" w14:textId="285B77DA" w:rsidR="0040235A" w:rsidRPr="00737DA5" w:rsidRDefault="0040235A" w:rsidP="005371EA">
            <w:pPr>
              <w:rPr>
                <w:lang w:val="en-GB"/>
              </w:rPr>
            </w:pPr>
            <w:r>
              <w:rPr>
                <w:lang w:val="en-GB"/>
              </w:rPr>
              <w:t xml:space="preserve">Total reimbursed amount for the type </w:t>
            </w:r>
            <w:r w:rsidR="009F0DC2">
              <w:rPr>
                <w:lang w:val="en-GB"/>
              </w:rPr>
              <w:t>II</w:t>
            </w:r>
            <w:r>
              <w:rPr>
                <w:lang w:val="en-GB"/>
              </w:rPr>
              <w:t xml:space="preserve"> projects is about 156.250,00 EUR (125.000,00 EUR ERDF (80%) and 31.250,00 EUR of national contribution(20%)).</w:t>
            </w:r>
          </w:p>
        </w:tc>
      </w:tr>
      <w:tr w:rsidR="0040235A" w:rsidRPr="00737DA5" w14:paraId="4CAB374F" w14:textId="77777777" w:rsidTr="00A52926">
        <w:tc>
          <w:tcPr>
            <w:tcW w:w="6997" w:type="dxa"/>
          </w:tcPr>
          <w:p w14:paraId="1D4AEBEE" w14:textId="77777777" w:rsidR="0040235A" w:rsidRPr="00737DA5" w:rsidRDefault="0040235A" w:rsidP="0040235A">
            <w:pPr>
              <w:rPr>
                <w:lang w:val="en-GB"/>
              </w:rPr>
            </w:pPr>
            <w:r w:rsidRPr="00737DA5">
              <w:rPr>
                <w:lang w:val="en-GB"/>
              </w:rPr>
              <w:t>(</w:t>
            </w:r>
            <w:r w:rsidRPr="00737DA5">
              <w:rPr>
                <w:vertAlign w:val="superscript"/>
                <w:lang w:val="en-GB"/>
              </w:rPr>
              <w:t>1</w:t>
            </w:r>
            <w:r w:rsidRPr="00737DA5">
              <w:rPr>
                <w:lang w:val="en-GB"/>
              </w:rPr>
              <w:t>) Envisaged starting date of the selection of operations and envisaged final date of their completion (ref. Article 63(5) of CPR).</w:t>
            </w:r>
          </w:p>
          <w:p w14:paraId="5E49C28E" w14:textId="58D5832A" w:rsidR="0040235A" w:rsidRPr="00737DA5" w:rsidRDefault="0040235A" w:rsidP="0040235A">
            <w:pPr>
              <w:rPr>
                <w:lang w:val="en-GB"/>
              </w:rPr>
            </w:pPr>
            <w:r w:rsidRPr="00737DA5">
              <w:rPr>
                <w:lang w:val="en-GB"/>
              </w:rPr>
              <w:t>(</w:t>
            </w:r>
            <w:r w:rsidRPr="00737DA5">
              <w:rPr>
                <w:vertAlign w:val="superscript"/>
                <w:lang w:val="en-GB"/>
              </w:rPr>
              <w:t>2</w:t>
            </w:r>
            <w:r w:rsidRPr="00737DA5">
              <w:rPr>
                <w:lang w:val="en-GB"/>
              </w:rPr>
              <w:t xml:space="preserve">) For operations encompassing </w:t>
            </w:r>
            <w:proofErr w:type="spellStart"/>
            <w:r w:rsidR="00E96459">
              <w:t>several</w:t>
            </w:r>
            <w:proofErr w:type="spellEnd"/>
            <w:r w:rsidR="00E96459">
              <w:t xml:space="preserve"> </w:t>
            </w:r>
            <w:proofErr w:type="spellStart"/>
            <w:r w:rsidR="00E96459">
              <w:t>simplified</w:t>
            </w:r>
            <w:proofErr w:type="spellEnd"/>
            <w:r w:rsidR="00E96459">
              <w:t xml:space="preserve"> </w:t>
            </w:r>
            <w:proofErr w:type="spellStart"/>
            <w:r w:rsidR="00E96459">
              <w:t>cost</w:t>
            </w:r>
            <w:proofErr w:type="spellEnd"/>
            <w:r w:rsidR="00E96459">
              <w:t xml:space="preserve"> </w:t>
            </w:r>
            <w:proofErr w:type="spellStart"/>
            <w:r w:rsidR="00E96459">
              <w:t>options</w:t>
            </w:r>
            <w:proofErr w:type="spellEnd"/>
            <w:r w:rsidR="00E96459">
              <w:t xml:space="preserve"> </w:t>
            </w:r>
            <w:proofErr w:type="spellStart"/>
            <w:r w:rsidR="00E96459">
              <w:t>covering</w:t>
            </w:r>
            <w:proofErr w:type="spellEnd"/>
            <w:r w:rsidR="00E96459">
              <w:t xml:space="preserve"> </w:t>
            </w:r>
            <w:proofErr w:type="spellStart"/>
            <w:r w:rsidR="00E96459">
              <w:t>different</w:t>
            </w:r>
            <w:proofErr w:type="spellEnd"/>
            <w:r w:rsidR="00E96459">
              <w:t xml:space="preserve"> </w:t>
            </w:r>
            <w:proofErr w:type="spellStart"/>
            <w:r w:rsidR="00E96459">
              <w:t>categories</w:t>
            </w:r>
            <w:proofErr w:type="spellEnd"/>
            <w:r w:rsidR="00E96459">
              <w:t xml:space="preserve"> </w:t>
            </w:r>
            <w:proofErr w:type="spellStart"/>
            <w:r w:rsidR="00E96459">
              <w:t>of</w:t>
            </w:r>
            <w:proofErr w:type="spellEnd"/>
            <w:r w:rsidR="00E96459">
              <w:t xml:space="preserve"> </w:t>
            </w:r>
            <w:proofErr w:type="spellStart"/>
            <w:r w:rsidR="00E96459">
              <w:t>costs</w:t>
            </w:r>
            <w:proofErr w:type="spellEnd"/>
            <w:r w:rsidR="00E96459">
              <w:t xml:space="preserve">, </w:t>
            </w:r>
            <w:proofErr w:type="spellStart"/>
            <w:r w:rsidR="00E96459">
              <w:t>different</w:t>
            </w:r>
            <w:proofErr w:type="spellEnd"/>
            <w:r w:rsidR="00E96459">
              <w:t xml:space="preserve"> </w:t>
            </w:r>
            <w:proofErr w:type="spellStart"/>
            <w:r w:rsidR="00E96459">
              <w:t>projects</w:t>
            </w:r>
            <w:proofErr w:type="spellEnd"/>
            <w:r w:rsidR="00E96459">
              <w:t xml:space="preserve"> </w:t>
            </w:r>
            <w:proofErr w:type="spellStart"/>
            <w:r w:rsidR="00E96459">
              <w:t>or</w:t>
            </w:r>
            <w:proofErr w:type="spellEnd"/>
            <w:r w:rsidR="00E96459">
              <w:t xml:space="preserve"> </w:t>
            </w:r>
            <w:proofErr w:type="spellStart"/>
            <w:r w:rsidR="00E96459">
              <w:t>successive</w:t>
            </w:r>
            <w:proofErr w:type="spellEnd"/>
            <w:r w:rsidR="00E96459">
              <w:t xml:space="preserve"> </w:t>
            </w:r>
            <w:proofErr w:type="spellStart"/>
            <w:r w:rsidR="00E96459">
              <w:t>phases</w:t>
            </w:r>
            <w:proofErr w:type="spellEnd"/>
            <w:r w:rsidR="00E96459">
              <w:t xml:space="preserve"> </w:t>
            </w:r>
            <w:proofErr w:type="spellStart"/>
            <w:r w:rsidR="00E96459">
              <w:t>of</w:t>
            </w:r>
            <w:proofErr w:type="spellEnd"/>
            <w:r w:rsidR="00E96459">
              <w:t xml:space="preserve"> </w:t>
            </w:r>
            <w:proofErr w:type="spellStart"/>
            <w:r w:rsidR="00E96459">
              <w:t>an</w:t>
            </w:r>
            <w:proofErr w:type="spellEnd"/>
            <w:r w:rsidR="00E96459">
              <w:t xml:space="preserve"> </w:t>
            </w:r>
            <w:proofErr w:type="spellStart"/>
            <w:r w:rsidR="00E96459">
              <w:t>operation</w:t>
            </w:r>
            <w:proofErr w:type="spellEnd"/>
            <w:r w:rsidR="00E96459">
              <w:t xml:space="preserve">, </w:t>
            </w:r>
            <w:proofErr w:type="spellStart"/>
            <w:r w:rsidR="00E96459">
              <w:t>the</w:t>
            </w:r>
            <w:proofErr w:type="spellEnd"/>
            <w:r w:rsidR="00E96459">
              <w:t xml:space="preserve"> </w:t>
            </w:r>
            <w:proofErr w:type="spellStart"/>
            <w:r w:rsidR="00E96459">
              <w:t>fields</w:t>
            </w:r>
            <w:proofErr w:type="spellEnd"/>
            <w:r w:rsidR="00E96459">
              <w:t xml:space="preserve"> 3 to 11 </w:t>
            </w:r>
            <w:proofErr w:type="spellStart"/>
            <w:r w:rsidR="00E96459">
              <w:t>need</w:t>
            </w:r>
            <w:proofErr w:type="spellEnd"/>
            <w:r w:rsidR="00E96459">
              <w:t xml:space="preserve"> to be </w:t>
            </w:r>
            <w:proofErr w:type="spellStart"/>
            <w:r w:rsidR="00E96459">
              <w:t>filled</w:t>
            </w:r>
            <w:proofErr w:type="spellEnd"/>
            <w:r w:rsidR="00E96459">
              <w:t xml:space="preserve"> in </w:t>
            </w:r>
            <w:proofErr w:type="spellStart"/>
            <w:r w:rsidR="00E96459">
              <w:t>for</w:t>
            </w:r>
            <w:proofErr w:type="spellEnd"/>
            <w:r w:rsidR="00E96459">
              <w:t xml:space="preserve"> </w:t>
            </w:r>
            <w:proofErr w:type="spellStart"/>
            <w:r w:rsidR="00E96459">
              <w:t>each</w:t>
            </w:r>
            <w:proofErr w:type="spellEnd"/>
            <w:r w:rsidR="00E96459">
              <w:t xml:space="preserve"> </w:t>
            </w:r>
            <w:proofErr w:type="spellStart"/>
            <w:r w:rsidR="00E96459">
              <w:t>indicator</w:t>
            </w:r>
            <w:proofErr w:type="spellEnd"/>
            <w:r w:rsidR="00E96459">
              <w:t xml:space="preserve"> </w:t>
            </w:r>
            <w:proofErr w:type="spellStart"/>
            <w:r w:rsidR="00E96459">
              <w:t>triggering</w:t>
            </w:r>
            <w:proofErr w:type="spellEnd"/>
            <w:r w:rsidR="00E96459">
              <w:t xml:space="preserve"> </w:t>
            </w:r>
            <w:proofErr w:type="spellStart"/>
            <w:r w:rsidR="00E96459">
              <w:t>reimbursement</w:t>
            </w:r>
            <w:proofErr w:type="spellEnd"/>
            <w:r w:rsidRPr="00737DA5">
              <w:rPr>
                <w:lang w:val="en-GB"/>
              </w:rPr>
              <w:t>.</w:t>
            </w:r>
          </w:p>
          <w:p w14:paraId="4EB9AB29" w14:textId="77777777" w:rsidR="0040235A" w:rsidRPr="00737DA5" w:rsidRDefault="0040235A" w:rsidP="0040235A">
            <w:pPr>
              <w:rPr>
                <w:lang w:val="en-GB"/>
              </w:rPr>
            </w:pPr>
            <w:r w:rsidRPr="00737DA5">
              <w:rPr>
                <w:lang w:val="en-GB"/>
              </w:rPr>
              <w:t>(</w:t>
            </w:r>
            <w:r w:rsidRPr="00737DA5">
              <w:rPr>
                <w:vertAlign w:val="superscript"/>
                <w:lang w:val="en-GB"/>
              </w:rPr>
              <w:t>3</w:t>
            </w:r>
            <w:r w:rsidRPr="00737DA5">
              <w:rPr>
                <w:lang w:val="en-GB"/>
              </w:rPr>
              <w:t>) If applicable, indicate the frequency and timing of the adjustment and a clear reference to a specific indicator (including a link to the website where this indicator is published, if applicable).</w:t>
            </w:r>
          </w:p>
          <w:p w14:paraId="43E81B1C" w14:textId="1215C2FE" w:rsidR="0040235A" w:rsidRPr="00737DA5" w:rsidRDefault="0040235A" w:rsidP="0040235A">
            <w:pPr>
              <w:rPr>
                <w:lang w:val="en-GB"/>
              </w:rPr>
            </w:pPr>
            <w:r w:rsidRPr="00737DA5">
              <w:rPr>
                <w:lang w:val="en-GB"/>
              </w:rPr>
              <w:t>(</w:t>
            </w:r>
            <w:r w:rsidRPr="00737DA5">
              <w:rPr>
                <w:vertAlign w:val="superscript"/>
                <w:lang w:val="en-GB"/>
              </w:rPr>
              <w:t>4</w:t>
            </w:r>
            <w:r w:rsidRPr="00737DA5">
              <w:rPr>
                <w:lang w:val="en-GB"/>
              </w:rPr>
              <w:t>) Are there any potential negative implications on the quality of the supported operations and, if so, what measures (</w:t>
            </w:r>
            <w:r w:rsidR="00E96459" w:rsidRPr="00E96459">
              <w:rPr>
                <w:lang w:val="en-GB"/>
              </w:rPr>
              <w:t xml:space="preserve">e.g. </w:t>
            </w:r>
            <w:r w:rsidRPr="00737DA5">
              <w:rPr>
                <w:lang w:val="en-GB"/>
              </w:rPr>
              <w:t>quality assurance) will be taken to offset this risk?</w:t>
            </w:r>
          </w:p>
        </w:tc>
        <w:tc>
          <w:tcPr>
            <w:tcW w:w="6997" w:type="dxa"/>
          </w:tcPr>
          <w:p w14:paraId="3A64EB7F" w14:textId="77777777" w:rsidR="0040235A" w:rsidRPr="00737DA5" w:rsidRDefault="0040235A" w:rsidP="0040235A">
            <w:pPr>
              <w:rPr>
                <w:rFonts w:asciiTheme="majorHAnsi" w:hAnsiTheme="majorHAnsi" w:cstheme="majorHAnsi"/>
                <w:lang w:val="en-GB"/>
              </w:rPr>
            </w:pPr>
          </w:p>
        </w:tc>
      </w:tr>
    </w:tbl>
    <w:p w14:paraId="5F75B92C" w14:textId="77777777" w:rsidR="00CC132F" w:rsidRPr="00737DA5" w:rsidRDefault="00CC132F" w:rsidP="00E53254">
      <w:pPr>
        <w:rPr>
          <w:lang w:val="en-GB"/>
        </w:rPr>
      </w:pPr>
    </w:p>
    <w:tbl>
      <w:tblPr>
        <w:tblStyle w:val="Tabelamrea"/>
        <w:tblW w:w="0" w:type="auto"/>
        <w:tblLook w:val="04A0" w:firstRow="1" w:lastRow="0" w:firstColumn="1" w:lastColumn="0" w:noHBand="0" w:noVBand="1"/>
      </w:tblPr>
      <w:tblGrid>
        <w:gridCol w:w="6997"/>
        <w:gridCol w:w="6997"/>
      </w:tblGrid>
      <w:tr w:rsidR="00CC132F" w:rsidRPr="00737DA5" w14:paraId="312384D6" w14:textId="77777777" w:rsidTr="00A52926">
        <w:tc>
          <w:tcPr>
            <w:tcW w:w="6997" w:type="dxa"/>
          </w:tcPr>
          <w:p w14:paraId="424DC744" w14:textId="77777777" w:rsidR="00CC132F" w:rsidRPr="00737DA5" w:rsidRDefault="00CC132F" w:rsidP="00A52926">
            <w:pPr>
              <w:rPr>
                <w:lang w:val="en-GB"/>
              </w:rPr>
            </w:pPr>
            <w:r w:rsidRPr="00737DA5">
              <w:rPr>
                <w:lang w:val="en-GB"/>
              </w:rPr>
              <w:t>1.1 Description of the operation type including the timeline for implementation(</w:t>
            </w:r>
            <w:r w:rsidRPr="00737DA5">
              <w:rPr>
                <w:vertAlign w:val="superscript"/>
                <w:lang w:val="en-GB"/>
              </w:rPr>
              <w:t>1</w:t>
            </w:r>
            <w:r w:rsidRPr="00737DA5">
              <w:rPr>
                <w:lang w:val="en-GB"/>
              </w:rPr>
              <w:t>)</w:t>
            </w:r>
          </w:p>
        </w:tc>
        <w:tc>
          <w:tcPr>
            <w:tcW w:w="6997" w:type="dxa"/>
          </w:tcPr>
          <w:p w14:paraId="0EA5EC1D" w14:textId="0A454231" w:rsidR="00323AB7" w:rsidRDefault="00323AB7" w:rsidP="00323AB7">
            <w:pPr>
              <w:jc w:val="both"/>
              <w:rPr>
                <w:rFonts w:cstheme="minorHAnsi"/>
                <w:lang w:val="en-GB"/>
              </w:rPr>
            </w:pPr>
            <w:r>
              <w:rPr>
                <w:rFonts w:cstheme="minorHAnsi"/>
                <w:lang w:val="en-GB"/>
              </w:rPr>
              <w:t>The calculated unit cost will be applicable only for small-scale projects, which are imple</w:t>
            </w:r>
            <w:r w:rsidR="009803A5">
              <w:rPr>
                <w:rFonts w:cstheme="minorHAnsi"/>
                <w:lang w:val="en-GB"/>
              </w:rPr>
              <w:t>mented exclusively under ISO1 (SO6.3)</w:t>
            </w:r>
            <w:r>
              <w:rPr>
                <w:rFonts w:cstheme="minorHAnsi"/>
                <w:lang w:val="en-GB"/>
              </w:rPr>
              <w:t xml:space="preserve">. </w:t>
            </w:r>
            <w:r w:rsidRPr="00903A00">
              <w:rPr>
                <w:rFonts w:cstheme="minorHAnsi"/>
                <w:lang w:val="en-GB"/>
              </w:rPr>
              <w:t>Small-scale projects w</w:t>
            </w:r>
            <w:r>
              <w:rPr>
                <w:rFonts w:cstheme="minorHAnsi"/>
                <w:lang w:val="en-GB"/>
              </w:rPr>
              <w:t>ill</w:t>
            </w:r>
            <w:r w:rsidRPr="00903A00">
              <w:rPr>
                <w:rFonts w:cstheme="minorHAnsi"/>
                <w:lang w:val="en-GB"/>
              </w:rPr>
              <w:t xml:space="preserve"> be used to address the specific aim to enhance people-to-people activities. </w:t>
            </w:r>
          </w:p>
          <w:p w14:paraId="0E5FDA86" w14:textId="77777777" w:rsidR="00323AB7" w:rsidRPr="00903A00" w:rsidRDefault="00323AB7" w:rsidP="00323AB7">
            <w:pPr>
              <w:jc w:val="both"/>
              <w:rPr>
                <w:rFonts w:cstheme="minorHAnsi"/>
                <w:lang w:val="en-GB"/>
              </w:rPr>
            </w:pPr>
            <w:r w:rsidRPr="00903A00">
              <w:rPr>
                <w:rFonts w:cstheme="minorHAnsi"/>
                <w:lang w:val="en-GB"/>
              </w:rPr>
              <w:t>A separate call (</w:t>
            </w:r>
            <w:r w:rsidRPr="00903A00">
              <w:rPr>
                <w:rFonts w:cstheme="minorHAnsi"/>
                <w:i/>
                <w:lang w:val="en-GB"/>
              </w:rPr>
              <w:t>submission open for 4-5 months)</w:t>
            </w:r>
            <w:r w:rsidRPr="00903A00">
              <w:rPr>
                <w:rFonts w:cstheme="minorHAnsi"/>
                <w:lang w:val="en-GB"/>
              </w:rPr>
              <w:t xml:space="preserve"> could be launched at the end of 2022 or in the beginning of 2023. All 3 defined types of operations would be subject of the same Call.</w:t>
            </w:r>
          </w:p>
          <w:p w14:paraId="547C6A33" w14:textId="77777777" w:rsidR="003B681C" w:rsidRPr="00572857" w:rsidRDefault="003B681C" w:rsidP="00A52926">
            <w:pPr>
              <w:rPr>
                <w:rFonts w:cstheme="minorHAnsi"/>
                <w:lang w:val="en-GB"/>
              </w:rPr>
            </w:pPr>
          </w:p>
          <w:p w14:paraId="4402FD85" w14:textId="77777777" w:rsidR="00CC132F" w:rsidRPr="00572857" w:rsidRDefault="00CC132F" w:rsidP="00A52926">
            <w:pPr>
              <w:rPr>
                <w:rFonts w:cstheme="minorHAnsi"/>
                <w:b/>
                <w:lang w:val="en-GB"/>
              </w:rPr>
            </w:pPr>
            <w:r w:rsidRPr="00572857">
              <w:rPr>
                <w:rFonts w:cstheme="minorHAnsi"/>
                <w:b/>
                <w:lang w:val="en-GB"/>
              </w:rPr>
              <w:t>Type I</w:t>
            </w:r>
            <w:r w:rsidR="003B681C" w:rsidRPr="00572857">
              <w:rPr>
                <w:rFonts w:cstheme="minorHAnsi"/>
                <w:b/>
                <w:lang w:val="en-GB"/>
              </w:rPr>
              <w:t>II</w:t>
            </w:r>
            <w:r w:rsidRPr="00572857">
              <w:rPr>
                <w:rFonts w:cstheme="minorHAnsi"/>
                <w:b/>
                <w:lang w:val="en-GB"/>
              </w:rPr>
              <w:t xml:space="preserve"> – </w:t>
            </w:r>
            <w:r w:rsidR="003B681C" w:rsidRPr="00572857">
              <w:rPr>
                <w:rFonts w:cstheme="minorHAnsi"/>
                <w:b/>
                <w:lang w:val="en-GB"/>
              </w:rPr>
              <w:t>Employee exchange projects based on lump sum</w:t>
            </w:r>
          </w:p>
          <w:p w14:paraId="24366B3C" w14:textId="47BBB065" w:rsidR="00510CC1" w:rsidRDefault="00E03F3D" w:rsidP="00296293">
            <w:pPr>
              <w:rPr>
                <w:rFonts w:cstheme="minorHAnsi"/>
                <w:lang w:val="en-GB"/>
              </w:rPr>
            </w:pPr>
            <w:r>
              <w:rPr>
                <w:rFonts w:cstheme="minorHAnsi"/>
                <w:lang w:val="en-GB"/>
              </w:rPr>
              <w:t>The project</w:t>
            </w:r>
            <w:r w:rsidRPr="00903A00">
              <w:rPr>
                <w:rFonts w:cstheme="minorHAnsi"/>
                <w:lang w:val="en-GB"/>
              </w:rPr>
              <w:t>s</w:t>
            </w:r>
            <w:r>
              <w:rPr>
                <w:rFonts w:cstheme="minorHAnsi"/>
                <w:lang w:val="en-GB"/>
              </w:rPr>
              <w:t xml:space="preserve"> are</w:t>
            </w:r>
            <w:r w:rsidRPr="00903A00">
              <w:rPr>
                <w:rFonts w:cstheme="minorHAnsi"/>
                <w:lang w:val="en-GB"/>
              </w:rPr>
              <w:t xml:space="preserve"> </w:t>
            </w:r>
            <w:r>
              <w:rPr>
                <w:rFonts w:cstheme="minorHAnsi"/>
                <w:lang w:val="en-GB"/>
              </w:rPr>
              <w:t>up to 1 year long and support</w:t>
            </w:r>
            <w:r w:rsidRPr="00903A00">
              <w:rPr>
                <w:rFonts w:cstheme="minorHAnsi"/>
                <w:lang w:val="en-GB"/>
              </w:rPr>
              <w:t xml:space="preserve"> </w:t>
            </w:r>
            <w:r w:rsidRPr="00510CC1">
              <w:rPr>
                <w:rFonts w:cstheme="minorHAnsi"/>
                <w:lang w:val="en-GB"/>
              </w:rPr>
              <w:t>cooperation in the field of education and labour market (emphasis on language education)</w:t>
            </w:r>
            <w:r>
              <w:rPr>
                <w:rFonts w:cstheme="minorHAnsi"/>
                <w:lang w:val="en-GB"/>
              </w:rPr>
              <w:t xml:space="preserve"> to achieve a</w:t>
            </w:r>
            <w:r w:rsidRPr="00903A00">
              <w:rPr>
                <w:rFonts w:cstheme="minorHAnsi"/>
                <w:lang w:val="en-GB"/>
              </w:rPr>
              <w:t xml:space="preserve"> build-up </w:t>
            </w:r>
            <w:r>
              <w:rPr>
                <w:rFonts w:cstheme="minorHAnsi"/>
                <w:lang w:val="en-GB"/>
              </w:rPr>
              <w:t xml:space="preserve">of </w:t>
            </w:r>
            <w:r w:rsidRPr="00903A00">
              <w:rPr>
                <w:rFonts w:cstheme="minorHAnsi"/>
                <w:lang w:val="en-GB"/>
              </w:rPr>
              <w:t xml:space="preserve">mutual trust, and enable or improve </w:t>
            </w:r>
            <w:r w:rsidR="00C13F99">
              <w:rPr>
                <w:rFonts w:cstheme="minorHAnsi"/>
                <w:lang w:val="en-GB"/>
              </w:rPr>
              <w:t xml:space="preserve">important </w:t>
            </w:r>
            <w:r w:rsidRPr="00903A00">
              <w:rPr>
                <w:rFonts w:cstheme="minorHAnsi"/>
                <w:lang w:val="en-GB"/>
              </w:rPr>
              <w:t>cooperation of institutions and target groups.</w:t>
            </w:r>
          </w:p>
          <w:p w14:paraId="05381C60" w14:textId="47ED0E89" w:rsidR="00E03F3D" w:rsidRDefault="00F94A67" w:rsidP="00E03F3D">
            <w:pPr>
              <w:rPr>
                <w:rFonts w:cstheme="minorHAnsi"/>
                <w:lang w:val="en-GB"/>
              </w:rPr>
            </w:pPr>
            <w:r w:rsidRPr="00572857">
              <w:rPr>
                <w:rFonts w:cstheme="minorHAnsi"/>
                <w:lang w:val="en-GB"/>
              </w:rPr>
              <w:t>Within the project f</w:t>
            </w:r>
            <w:r w:rsidR="003B681C" w:rsidRPr="00572857">
              <w:rPr>
                <w:rFonts w:cstheme="minorHAnsi"/>
                <w:lang w:val="en-GB"/>
              </w:rPr>
              <w:t xml:space="preserve">or the period of </w:t>
            </w:r>
            <w:r w:rsidR="00977E7D">
              <w:rPr>
                <w:rFonts w:cstheme="minorHAnsi"/>
                <w:lang w:val="en-GB"/>
              </w:rPr>
              <w:t>1 year</w:t>
            </w:r>
            <w:r w:rsidR="003B681C" w:rsidRPr="00572857">
              <w:rPr>
                <w:rFonts w:cstheme="minorHAnsi"/>
                <w:lang w:val="en-GB"/>
              </w:rPr>
              <w:t xml:space="preserve"> one employee is</w:t>
            </w:r>
            <w:r w:rsidR="009C5853" w:rsidRPr="00572857">
              <w:rPr>
                <w:rFonts w:cstheme="minorHAnsi"/>
                <w:lang w:val="en-GB"/>
              </w:rPr>
              <w:t xml:space="preserve"> full-time</w:t>
            </w:r>
            <w:r w:rsidR="003B681C" w:rsidRPr="00572857">
              <w:rPr>
                <w:rFonts w:cstheme="minorHAnsi"/>
                <w:lang w:val="en-GB"/>
              </w:rPr>
              <w:t xml:space="preserve"> working in host country, at location of the other project partner.</w:t>
            </w:r>
            <w:r w:rsidRPr="00572857">
              <w:rPr>
                <w:rFonts w:cstheme="minorHAnsi"/>
                <w:lang w:val="en-GB"/>
              </w:rPr>
              <w:t xml:space="preserve"> </w:t>
            </w:r>
            <w:r w:rsidR="00E03F3D">
              <w:rPr>
                <w:rFonts w:cstheme="minorHAnsi"/>
                <w:lang w:val="en-GB"/>
              </w:rPr>
              <w:t xml:space="preserve">It can be also implemented in the way that 2 people are employed within one project but the duration of the project shortens with respect to it (each employee 6 months, respectively). </w:t>
            </w:r>
          </w:p>
          <w:p w14:paraId="6C536E9D" w14:textId="24EAA4F2" w:rsidR="00977E7D" w:rsidRPr="00572857" w:rsidRDefault="00C13F99" w:rsidP="00977E7D">
            <w:pPr>
              <w:rPr>
                <w:rFonts w:cstheme="minorHAnsi"/>
                <w:lang w:val="en-GB"/>
              </w:rPr>
            </w:pPr>
            <w:r>
              <w:rPr>
                <w:rFonts w:cstheme="minorHAnsi"/>
                <w:lang w:val="en-GB"/>
              </w:rPr>
              <w:t>Within the proposed lump sum</w:t>
            </w:r>
            <w:r w:rsidR="00977E7D" w:rsidRPr="001C717B">
              <w:rPr>
                <w:rFonts w:cstheme="minorHAnsi"/>
                <w:lang w:val="en-GB"/>
              </w:rPr>
              <w:t xml:space="preserve"> costs occurring in phases of preparation</w:t>
            </w:r>
            <w:r>
              <w:rPr>
                <w:rFonts w:cstheme="minorHAnsi"/>
                <w:lang w:val="en-GB"/>
              </w:rPr>
              <w:t xml:space="preserve"> of the project</w:t>
            </w:r>
            <w:r w:rsidR="00977E7D" w:rsidRPr="001C717B">
              <w:rPr>
                <w:rFonts w:cstheme="minorHAnsi"/>
                <w:lang w:val="en-GB"/>
              </w:rPr>
              <w:t xml:space="preserve"> and project implementation (staff costs</w:t>
            </w:r>
            <w:r>
              <w:rPr>
                <w:rFonts w:cstheme="minorHAnsi"/>
                <w:lang w:val="en-GB"/>
              </w:rPr>
              <w:t xml:space="preserve"> and</w:t>
            </w:r>
            <w:r w:rsidR="00977E7D" w:rsidRPr="001C717B">
              <w:rPr>
                <w:rFonts w:cstheme="minorHAnsi"/>
                <w:lang w:val="en-GB"/>
              </w:rPr>
              <w:t xml:space="preserve"> administrative costs) are included.</w:t>
            </w:r>
          </w:p>
          <w:p w14:paraId="41C4ACBC" w14:textId="158AE7EF" w:rsidR="003B681C" w:rsidRPr="00572857" w:rsidRDefault="00296293" w:rsidP="009803A5">
            <w:pPr>
              <w:rPr>
                <w:rFonts w:cstheme="minorHAnsi"/>
                <w:lang w:val="en-GB"/>
              </w:rPr>
            </w:pPr>
            <w:r w:rsidRPr="00572857">
              <w:rPr>
                <w:rFonts w:cstheme="minorHAnsi"/>
                <w:lang w:val="en-GB"/>
              </w:rPr>
              <w:t xml:space="preserve">Beneficiaries represent </w:t>
            </w:r>
            <w:r w:rsidR="006845EF">
              <w:rPr>
                <w:rFonts w:cstheme="minorHAnsi"/>
                <w:lang w:val="en-GB"/>
              </w:rPr>
              <w:t>institutions</w:t>
            </w:r>
            <w:r w:rsidR="006845EF" w:rsidRPr="00572857">
              <w:rPr>
                <w:rFonts w:cstheme="minorHAnsi"/>
                <w:lang w:val="en-GB"/>
              </w:rPr>
              <w:t xml:space="preserve"> </w:t>
            </w:r>
            <w:r w:rsidR="006845EF">
              <w:rPr>
                <w:rFonts w:cstheme="minorHAnsi"/>
                <w:lang w:val="en-GB"/>
              </w:rPr>
              <w:t xml:space="preserve">in </w:t>
            </w:r>
            <w:r w:rsidRPr="00572857">
              <w:rPr>
                <w:rFonts w:cstheme="minorHAnsi"/>
                <w:lang w:val="en-GB"/>
              </w:rPr>
              <w:t xml:space="preserve">the </w:t>
            </w:r>
            <w:r w:rsidR="009803A5">
              <w:rPr>
                <w:rFonts w:cstheme="minorHAnsi"/>
                <w:lang w:val="en-GB"/>
              </w:rPr>
              <w:t>programme area</w:t>
            </w:r>
            <w:r w:rsidRPr="00572857">
              <w:rPr>
                <w:rFonts w:cstheme="minorHAnsi"/>
                <w:lang w:val="en-GB"/>
              </w:rPr>
              <w:t>, which consists of budget users (</w:t>
            </w:r>
            <w:r w:rsidR="005247B3">
              <w:rPr>
                <w:rFonts w:cstheme="minorHAnsi"/>
                <w:lang w:val="en-GB"/>
              </w:rPr>
              <w:t xml:space="preserve">i.e. </w:t>
            </w:r>
            <w:r w:rsidRPr="00572857">
              <w:rPr>
                <w:rFonts w:cstheme="minorHAnsi"/>
                <w:lang w:val="en-GB"/>
              </w:rPr>
              <w:t>state bodies and self-governing local communities, public agencies, public funds, public institutes and public economic institutes, other public law entities that are indirect users of the state budget or local community budget</w:t>
            </w:r>
            <w:r w:rsidR="009803A5">
              <w:rPr>
                <w:rFonts w:cstheme="minorHAnsi"/>
                <w:lang w:val="en-GB"/>
              </w:rPr>
              <w:t xml:space="preserve">), associations and small institutions in </w:t>
            </w:r>
            <w:r w:rsidR="003E1430">
              <w:rPr>
                <w:rFonts w:cstheme="minorHAnsi"/>
                <w:lang w:val="en-GB"/>
              </w:rPr>
              <w:t xml:space="preserve">the </w:t>
            </w:r>
            <w:r w:rsidR="009803A5">
              <w:rPr>
                <w:rFonts w:cstheme="minorHAnsi"/>
                <w:lang w:val="en-GB"/>
              </w:rPr>
              <w:t>programme area</w:t>
            </w:r>
            <w:r w:rsidRPr="00572857">
              <w:rPr>
                <w:rFonts w:cstheme="minorHAnsi"/>
                <w:lang w:val="en-GB"/>
              </w:rPr>
              <w:t>.</w:t>
            </w:r>
          </w:p>
        </w:tc>
      </w:tr>
      <w:tr w:rsidR="0040235A" w:rsidRPr="00737DA5" w14:paraId="671E6595" w14:textId="77777777" w:rsidTr="00A52926">
        <w:tc>
          <w:tcPr>
            <w:tcW w:w="6997" w:type="dxa"/>
          </w:tcPr>
          <w:p w14:paraId="3AABC5BB" w14:textId="53CC8760" w:rsidR="0040235A" w:rsidRPr="00737DA5" w:rsidRDefault="0040235A" w:rsidP="0040235A">
            <w:pPr>
              <w:rPr>
                <w:lang w:val="en-GB"/>
              </w:rPr>
            </w:pPr>
            <w:r w:rsidRPr="00737DA5">
              <w:rPr>
                <w:lang w:val="en-GB"/>
              </w:rPr>
              <w:t>1.2 Specific objective</w:t>
            </w:r>
            <w:r w:rsidR="00E96459">
              <w:rPr>
                <w:lang w:val="en-GB"/>
              </w:rPr>
              <w:t>(s)</w:t>
            </w:r>
          </w:p>
        </w:tc>
        <w:tc>
          <w:tcPr>
            <w:tcW w:w="6997" w:type="dxa"/>
          </w:tcPr>
          <w:p w14:paraId="6ACD756A" w14:textId="27FC5C00" w:rsidR="0040235A" w:rsidRPr="00737DA5" w:rsidRDefault="009803A5" w:rsidP="009803A5">
            <w:pPr>
              <w:rPr>
                <w:lang w:val="en-GB"/>
              </w:rPr>
            </w:pPr>
            <w:r>
              <w:rPr>
                <w:lang w:val="en-GB"/>
              </w:rPr>
              <w:t>Priority axis 3, ISO1</w:t>
            </w:r>
            <w:r w:rsidR="0040235A">
              <w:rPr>
                <w:lang w:val="en-GB"/>
              </w:rPr>
              <w:t xml:space="preserve"> (</w:t>
            </w:r>
            <w:r>
              <w:rPr>
                <w:lang w:val="en-GB"/>
              </w:rPr>
              <w:t>SO6.3</w:t>
            </w:r>
            <w:r w:rsidR="0040235A">
              <w:rPr>
                <w:lang w:val="en-GB"/>
              </w:rPr>
              <w:t>)</w:t>
            </w:r>
          </w:p>
        </w:tc>
      </w:tr>
      <w:tr w:rsidR="0040235A" w:rsidRPr="00737DA5" w14:paraId="2121333A" w14:textId="77777777" w:rsidTr="00A52926">
        <w:tc>
          <w:tcPr>
            <w:tcW w:w="6997" w:type="dxa"/>
          </w:tcPr>
          <w:p w14:paraId="142BEB8F" w14:textId="77777777" w:rsidR="0040235A" w:rsidRPr="00737DA5" w:rsidRDefault="0040235A" w:rsidP="0040235A">
            <w:pPr>
              <w:rPr>
                <w:lang w:val="en-GB"/>
              </w:rPr>
            </w:pPr>
            <w:r w:rsidRPr="00737DA5">
              <w:rPr>
                <w:lang w:val="en-GB"/>
              </w:rPr>
              <w:t>1.3 Indicator triggering reimbursement(</w:t>
            </w:r>
            <w:r w:rsidRPr="00737DA5">
              <w:rPr>
                <w:vertAlign w:val="superscript"/>
                <w:lang w:val="en-GB"/>
              </w:rPr>
              <w:t>2</w:t>
            </w:r>
            <w:r w:rsidRPr="00737DA5">
              <w:rPr>
                <w:lang w:val="en-GB"/>
              </w:rPr>
              <w:t>)</w:t>
            </w:r>
          </w:p>
        </w:tc>
        <w:tc>
          <w:tcPr>
            <w:tcW w:w="6997" w:type="dxa"/>
          </w:tcPr>
          <w:p w14:paraId="73F88C09" w14:textId="7D16F2E2" w:rsidR="0040235A" w:rsidRPr="00977E7D" w:rsidRDefault="005247B3" w:rsidP="00B12888">
            <w:pPr>
              <w:rPr>
                <w:lang w:val="en-GB"/>
              </w:rPr>
            </w:pPr>
            <w:r>
              <w:rPr>
                <w:lang w:val="en-GB"/>
              </w:rPr>
              <w:t>Ei</w:t>
            </w:r>
            <w:r w:rsidR="00891AB5">
              <w:rPr>
                <w:lang w:val="en-GB"/>
              </w:rPr>
              <w:t>th</w:t>
            </w:r>
            <w:r>
              <w:rPr>
                <w:lang w:val="en-GB"/>
              </w:rPr>
              <w:t>er e</w:t>
            </w:r>
            <w:r w:rsidR="0040235A" w:rsidRPr="00977E7D">
              <w:rPr>
                <w:lang w:val="en-GB"/>
              </w:rPr>
              <w:t>mployment of 1 person for 1 year</w:t>
            </w:r>
            <w:r>
              <w:rPr>
                <w:lang w:val="en-GB"/>
              </w:rPr>
              <w:t xml:space="preserve">, or employment of </w:t>
            </w:r>
            <w:r w:rsidR="0040235A" w:rsidRPr="00977E7D">
              <w:rPr>
                <w:lang w:val="en-GB"/>
              </w:rPr>
              <w:t xml:space="preserve">2 persons for half a year </w:t>
            </w:r>
          </w:p>
        </w:tc>
      </w:tr>
      <w:tr w:rsidR="0040235A" w:rsidRPr="00737DA5" w14:paraId="37A9D2C6" w14:textId="77777777" w:rsidTr="00A52926">
        <w:tc>
          <w:tcPr>
            <w:tcW w:w="6997" w:type="dxa"/>
          </w:tcPr>
          <w:p w14:paraId="11B6F896" w14:textId="77777777" w:rsidR="0040235A" w:rsidRPr="00737DA5" w:rsidRDefault="0040235A" w:rsidP="0040235A">
            <w:pPr>
              <w:rPr>
                <w:lang w:val="en-GB"/>
              </w:rPr>
            </w:pPr>
            <w:r w:rsidRPr="00737DA5">
              <w:rPr>
                <w:lang w:val="en-GB"/>
              </w:rPr>
              <w:t>1.4 Unit of measurement for the indicator triggering reimbursement</w:t>
            </w:r>
          </w:p>
        </w:tc>
        <w:tc>
          <w:tcPr>
            <w:tcW w:w="6997" w:type="dxa"/>
          </w:tcPr>
          <w:p w14:paraId="14B633F7" w14:textId="772BAA18" w:rsidR="0040235A" w:rsidRPr="008B3FDD" w:rsidRDefault="0040235A" w:rsidP="0040235A">
            <w:pPr>
              <w:rPr>
                <w:lang w:val="en-GB"/>
              </w:rPr>
            </w:pPr>
            <w:r w:rsidRPr="008B3FDD">
              <w:rPr>
                <w:lang w:val="en-GB"/>
              </w:rPr>
              <w:t>Signed subsidy contract (10% of project value reimbursement)</w:t>
            </w:r>
          </w:p>
          <w:p w14:paraId="336B5508" w14:textId="4102E1E8" w:rsidR="0040235A" w:rsidRPr="00977E7D" w:rsidRDefault="0040235A" w:rsidP="0040235A">
            <w:pPr>
              <w:rPr>
                <w:lang w:val="en-GB"/>
              </w:rPr>
            </w:pPr>
            <w:r w:rsidRPr="008B3FDD">
              <w:rPr>
                <w:lang w:val="en-GB"/>
              </w:rPr>
              <w:t xml:space="preserve">Implementation of </w:t>
            </w:r>
            <w:r>
              <w:rPr>
                <w:lang w:val="en-GB"/>
              </w:rPr>
              <w:t>the project</w:t>
            </w:r>
            <w:r w:rsidRPr="008B3FDD">
              <w:rPr>
                <w:lang w:val="en-GB"/>
              </w:rPr>
              <w:t xml:space="preserve"> (the rest of the project value)</w:t>
            </w:r>
          </w:p>
        </w:tc>
      </w:tr>
      <w:tr w:rsidR="0040235A" w:rsidRPr="00737DA5" w14:paraId="73584F55" w14:textId="77777777" w:rsidTr="00A52926">
        <w:tc>
          <w:tcPr>
            <w:tcW w:w="6997" w:type="dxa"/>
          </w:tcPr>
          <w:p w14:paraId="0907B89F" w14:textId="77777777" w:rsidR="0040235A" w:rsidRPr="00737DA5" w:rsidRDefault="0040235A" w:rsidP="0040235A">
            <w:pPr>
              <w:rPr>
                <w:lang w:val="en-GB"/>
              </w:rPr>
            </w:pPr>
            <w:r w:rsidRPr="00737DA5">
              <w:rPr>
                <w:lang w:val="en-GB"/>
              </w:rPr>
              <w:t>1.5 Standard scale of unit cost, lump sum or flat rate</w:t>
            </w:r>
          </w:p>
        </w:tc>
        <w:tc>
          <w:tcPr>
            <w:tcW w:w="6997" w:type="dxa"/>
          </w:tcPr>
          <w:p w14:paraId="08425234" w14:textId="52EF7395" w:rsidR="0040235A" w:rsidRPr="00737DA5" w:rsidRDefault="0040235A" w:rsidP="0040235A">
            <w:pPr>
              <w:rPr>
                <w:lang w:val="en-GB"/>
              </w:rPr>
            </w:pPr>
            <w:r w:rsidRPr="008B3FDD">
              <w:rPr>
                <w:lang w:val="en-GB"/>
              </w:rPr>
              <w:t>Lump sum</w:t>
            </w:r>
          </w:p>
        </w:tc>
      </w:tr>
      <w:tr w:rsidR="0040235A" w:rsidRPr="00737DA5" w14:paraId="31F9DCCC" w14:textId="77777777" w:rsidTr="00A52926">
        <w:tc>
          <w:tcPr>
            <w:tcW w:w="6997" w:type="dxa"/>
          </w:tcPr>
          <w:p w14:paraId="1DE863CC" w14:textId="6CF59F18" w:rsidR="0040235A" w:rsidRPr="00737DA5" w:rsidRDefault="0040235A" w:rsidP="00920ED8">
            <w:pPr>
              <w:rPr>
                <w:lang w:val="en-GB"/>
              </w:rPr>
            </w:pPr>
            <w:r w:rsidRPr="00737DA5">
              <w:rPr>
                <w:lang w:val="en-GB"/>
              </w:rPr>
              <w:t xml:space="preserve">1.6 Amount per unit of measurement or percentage (for flat rates) of the </w:t>
            </w:r>
            <w:r w:rsidR="00E96459">
              <w:rPr>
                <w:lang w:val="en-GB"/>
              </w:rPr>
              <w:t>SCO</w:t>
            </w:r>
          </w:p>
        </w:tc>
        <w:tc>
          <w:tcPr>
            <w:tcW w:w="6997" w:type="dxa"/>
          </w:tcPr>
          <w:p w14:paraId="4FA6182A" w14:textId="41E3B76C" w:rsidR="0040235A" w:rsidRPr="00737DA5" w:rsidRDefault="00BA360E" w:rsidP="00BA360E">
            <w:pPr>
              <w:rPr>
                <w:lang w:val="en-GB"/>
              </w:rPr>
            </w:pPr>
            <w:r>
              <w:rPr>
                <w:b/>
                <w:lang w:val="en-GB"/>
              </w:rPr>
              <w:t>31.25</w:t>
            </w:r>
            <w:r w:rsidR="0040235A">
              <w:rPr>
                <w:b/>
                <w:lang w:val="en-GB"/>
              </w:rPr>
              <w:t>0</w:t>
            </w:r>
            <w:r w:rsidR="0040235A" w:rsidRPr="002B7706">
              <w:rPr>
                <w:b/>
                <w:lang w:val="en-GB"/>
              </w:rPr>
              <w:t>,00 EUR</w:t>
            </w:r>
          </w:p>
        </w:tc>
      </w:tr>
      <w:tr w:rsidR="0040235A" w:rsidRPr="00737DA5" w14:paraId="5F33D447" w14:textId="77777777" w:rsidTr="00A52926">
        <w:tc>
          <w:tcPr>
            <w:tcW w:w="6997" w:type="dxa"/>
          </w:tcPr>
          <w:p w14:paraId="59985A45" w14:textId="77777777" w:rsidR="0040235A" w:rsidRPr="00737DA5" w:rsidRDefault="0040235A" w:rsidP="0040235A">
            <w:pPr>
              <w:rPr>
                <w:lang w:val="en-GB"/>
              </w:rPr>
            </w:pPr>
            <w:r w:rsidRPr="00737DA5">
              <w:rPr>
                <w:lang w:val="en-GB"/>
              </w:rPr>
              <w:t>1.7 Categories of costs covered by the unit cost, lump sum or flat rate</w:t>
            </w:r>
          </w:p>
        </w:tc>
        <w:tc>
          <w:tcPr>
            <w:tcW w:w="6997" w:type="dxa"/>
          </w:tcPr>
          <w:p w14:paraId="486DF0D5" w14:textId="5FF5000F" w:rsidR="0040235A" w:rsidRDefault="0040235A" w:rsidP="0040235A">
            <w:pPr>
              <w:rPr>
                <w:lang w:val="en-GB"/>
              </w:rPr>
            </w:pPr>
            <w:r>
              <w:rPr>
                <w:lang w:val="en-GB"/>
              </w:rPr>
              <w:t xml:space="preserve">By </w:t>
            </w:r>
            <w:r w:rsidR="0087663D">
              <w:rPr>
                <w:lang w:val="en-GB"/>
              </w:rPr>
              <w:t>the</w:t>
            </w:r>
            <w:r>
              <w:rPr>
                <w:lang w:val="en-GB"/>
              </w:rPr>
              <w:t xml:space="preserve"> lump sum </w:t>
            </w:r>
            <w:r w:rsidR="00C13F99">
              <w:rPr>
                <w:lang w:val="en-GB"/>
              </w:rPr>
              <w:t xml:space="preserve">cost </w:t>
            </w:r>
            <w:r>
              <w:rPr>
                <w:lang w:val="en-GB"/>
              </w:rPr>
              <w:t xml:space="preserve">categories </w:t>
            </w:r>
            <w:r w:rsidR="00C13F99">
              <w:rPr>
                <w:lang w:val="en-GB"/>
              </w:rPr>
              <w:t>staff and administrative costs</w:t>
            </w:r>
            <w:r>
              <w:rPr>
                <w:lang w:val="en-GB"/>
              </w:rPr>
              <w:t xml:space="preserve"> are covered.</w:t>
            </w:r>
          </w:p>
          <w:p w14:paraId="44CBF2F1" w14:textId="6120E506" w:rsidR="0040235A" w:rsidRPr="00737DA5" w:rsidRDefault="0040235A" w:rsidP="0040235A">
            <w:pPr>
              <w:rPr>
                <w:lang w:val="en-GB"/>
              </w:rPr>
            </w:pPr>
            <w:r>
              <w:rPr>
                <w:lang w:val="en-GB"/>
              </w:rPr>
              <w:t>See Methodology III (C.3 below).</w:t>
            </w:r>
          </w:p>
        </w:tc>
      </w:tr>
      <w:tr w:rsidR="0040235A" w:rsidRPr="00737DA5" w14:paraId="6E87EF11" w14:textId="77777777" w:rsidTr="00A52926">
        <w:tc>
          <w:tcPr>
            <w:tcW w:w="6997" w:type="dxa"/>
          </w:tcPr>
          <w:p w14:paraId="626381A1" w14:textId="77777777" w:rsidR="0040235A" w:rsidRPr="00737DA5" w:rsidRDefault="0040235A" w:rsidP="0040235A">
            <w:pPr>
              <w:rPr>
                <w:lang w:val="en-GB"/>
              </w:rPr>
            </w:pPr>
            <w:r w:rsidRPr="00737DA5">
              <w:rPr>
                <w:lang w:val="en-GB"/>
              </w:rPr>
              <w:t>1.8 Do these categories of costs cover all eligible expenditure for the operation? (Y/N)</w:t>
            </w:r>
          </w:p>
        </w:tc>
        <w:tc>
          <w:tcPr>
            <w:tcW w:w="6997" w:type="dxa"/>
          </w:tcPr>
          <w:p w14:paraId="1E70F587" w14:textId="1792FBC2" w:rsidR="0040235A" w:rsidRPr="00737DA5" w:rsidRDefault="0040235A" w:rsidP="0040235A">
            <w:pPr>
              <w:rPr>
                <w:lang w:val="en-GB"/>
              </w:rPr>
            </w:pPr>
            <w:r w:rsidRPr="008B3FDD">
              <w:rPr>
                <w:lang w:val="en-GB"/>
              </w:rPr>
              <w:t>Yes</w:t>
            </w:r>
          </w:p>
        </w:tc>
      </w:tr>
      <w:tr w:rsidR="0040235A" w:rsidRPr="00737DA5" w14:paraId="44C9F00E" w14:textId="77777777" w:rsidTr="00A52926">
        <w:tc>
          <w:tcPr>
            <w:tcW w:w="6997" w:type="dxa"/>
          </w:tcPr>
          <w:p w14:paraId="6FEB53C3" w14:textId="77777777" w:rsidR="0040235A" w:rsidRPr="00737DA5" w:rsidRDefault="0040235A" w:rsidP="0040235A">
            <w:pPr>
              <w:rPr>
                <w:lang w:val="en-GB"/>
              </w:rPr>
            </w:pPr>
            <w:r w:rsidRPr="00737DA5">
              <w:rPr>
                <w:lang w:val="en-GB"/>
              </w:rPr>
              <w:t>1.9 Adjustment(s) method(</w:t>
            </w:r>
            <w:r w:rsidRPr="00737DA5">
              <w:rPr>
                <w:vertAlign w:val="superscript"/>
                <w:lang w:val="en-GB"/>
              </w:rPr>
              <w:t>3</w:t>
            </w:r>
            <w:r w:rsidRPr="00737DA5">
              <w:rPr>
                <w:lang w:val="en-GB"/>
              </w:rPr>
              <w:t>)</w:t>
            </w:r>
          </w:p>
        </w:tc>
        <w:tc>
          <w:tcPr>
            <w:tcW w:w="6997" w:type="dxa"/>
          </w:tcPr>
          <w:p w14:paraId="31F951F5" w14:textId="4313CFA9" w:rsidR="0040235A" w:rsidRPr="00737DA5" w:rsidRDefault="0040235A" w:rsidP="0040235A">
            <w:pPr>
              <w:rPr>
                <w:lang w:val="en-GB"/>
              </w:rPr>
            </w:pPr>
            <w:r w:rsidRPr="008B3FDD">
              <w:rPr>
                <w:lang w:val="en-GB"/>
              </w:rPr>
              <w:t xml:space="preserve">Set amounts </w:t>
            </w:r>
            <w:r w:rsidR="00323AB7">
              <w:rPr>
                <w:lang w:val="en-GB"/>
              </w:rPr>
              <w:t>re</w:t>
            </w:r>
            <w:r w:rsidRPr="008B3FDD">
              <w:rPr>
                <w:lang w:val="en-GB"/>
              </w:rPr>
              <w:t>present the co-financing of projects to partners of both member states without any (later) adjustments.</w:t>
            </w:r>
          </w:p>
        </w:tc>
      </w:tr>
      <w:tr w:rsidR="0040235A" w:rsidRPr="00737DA5" w14:paraId="6F79AE2F" w14:textId="77777777" w:rsidTr="00A52926">
        <w:tc>
          <w:tcPr>
            <w:tcW w:w="6997" w:type="dxa"/>
          </w:tcPr>
          <w:p w14:paraId="120B30F1" w14:textId="77777777" w:rsidR="0040235A" w:rsidRPr="00737DA5" w:rsidRDefault="0040235A" w:rsidP="0040235A">
            <w:pPr>
              <w:rPr>
                <w:lang w:val="en-GB"/>
              </w:rPr>
            </w:pPr>
            <w:r w:rsidRPr="00737DA5">
              <w:rPr>
                <w:lang w:val="en-GB"/>
              </w:rPr>
              <w:t>1.10 Verification of the achievement of the units delivered</w:t>
            </w:r>
          </w:p>
          <w:p w14:paraId="52613796" w14:textId="77777777" w:rsidR="0040235A" w:rsidRPr="00737DA5" w:rsidRDefault="0040235A" w:rsidP="0040235A">
            <w:pPr>
              <w:rPr>
                <w:lang w:val="en-GB"/>
              </w:rPr>
            </w:pPr>
            <w:r w:rsidRPr="00737DA5">
              <w:rPr>
                <w:lang w:val="en-GB"/>
              </w:rPr>
              <w:t>— describe what document(s)/system will be used to verify the achievement of the units delivered</w:t>
            </w:r>
          </w:p>
          <w:p w14:paraId="769E4B82" w14:textId="77777777" w:rsidR="0040235A" w:rsidRPr="00737DA5" w:rsidRDefault="0040235A" w:rsidP="0040235A">
            <w:pPr>
              <w:rPr>
                <w:lang w:val="en-GB"/>
              </w:rPr>
            </w:pPr>
            <w:r w:rsidRPr="00737DA5">
              <w:rPr>
                <w:lang w:val="en-GB"/>
              </w:rPr>
              <w:t>—describe what will be checked and by whom during management verifications</w:t>
            </w:r>
          </w:p>
          <w:p w14:paraId="31C3A826" w14:textId="77777777" w:rsidR="0040235A" w:rsidRPr="00737DA5" w:rsidRDefault="0040235A" w:rsidP="0040235A">
            <w:pPr>
              <w:rPr>
                <w:lang w:val="en-GB"/>
              </w:rPr>
            </w:pPr>
            <w:r w:rsidRPr="00737DA5">
              <w:rPr>
                <w:lang w:val="en-GB"/>
              </w:rPr>
              <w:t>— describe what arrangements will be made to collect and store the relevant data/documents</w:t>
            </w:r>
          </w:p>
        </w:tc>
        <w:tc>
          <w:tcPr>
            <w:tcW w:w="6997" w:type="dxa"/>
          </w:tcPr>
          <w:p w14:paraId="3A167F44" w14:textId="77777777" w:rsidR="0040235A" w:rsidRPr="00737DA5" w:rsidRDefault="0040235A" w:rsidP="0040235A">
            <w:pPr>
              <w:rPr>
                <w:lang w:val="en-GB"/>
              </w:rPr>
            </w:pPr>
            <w:r w:rsidRPr="00737DA5">
              <w:rPr>
                <w:lang w:val="en-GB"/>
              </w:rPr>
              <w:t xml:space="preserve">a) Obligatory documents are: </w:t>
            </w:r>
          </w:p>
          <w:p w14:paraId="0C1D15CB" w14:textId="77777777" w:rsidR="0040235A" w:rsidRPr="00737DA5" w:rsidRDefault="0040235A" w:rsidP="0040235A">
            <w:pPr>
              <w:rPr>
                <w:lang w:val="en-GB"/>
              </w:rPr>
            </w:pPr>
            <w:r w:rsidRPr="00737DA5">
              <w:rPr>
                <w:lang w:val="en-GB"/>
              </w:rPr>
              <w:t>- Signed subsidy contract</w:t>
            </w:r>
          </w:p>
          <w:p w14:paraId="52D9C82A" w14:textId="77777777" w:rsidR="0040235A" w:rsidRPr="00737DA5" w:rsidRDefault="0040235A" w:rsidP="0040235A">
            <w:pPr>
              <w:rPr>
                <w:lang w:val="en-GB"/>
              </w:rPr>
            </w:pPr>
            <w:r w:rsidRPr="00737DA5">
              <w:rPr>
                <w:lang w:val="en-GB"/>
              </w:rPr>
              <w:t>- Signed employment contract or another relevant act by which the employee is assigned to the project and in which there is a clear definition of his tasks. The employment contract is concluded between the beneficiary and the employee.</w:t>
            </w:r>
          </w:p>
          <w:p w14:paraId="07E0CEAD" w14:textId="4D110061" w:rsidR="0040235A" w:rsidRPr="00737DA5" w:rsidRDefault="0040235A" w:rsidP="0040235A">
            <w:pPr>
              <w:rPr>
                <w:highlight w:val="yellow"/>
                <w:lang w:val="en-GB"/>
              </w:rPr>
            </w:pPr>
            <w:r w:rsidRPr="00737DA5">
              <w:rPr>
                <w:lang w:val="en-GB"/>
              </w:rPr>
              <w:t xml:space="preserve">- Monthly report on the work on the project with a timetable. The report </w:t>
            </w:r>
            <w:r>
              <w:rPr>
                <w:lang w:val="en-GB"/>
              </w:rPr>
              <w:t>must</w:t>
            </w:r>
            <w:r w:rsidRPr="00737DA5">
              <w:rPr>
                <w:lang w:val="en-GB"/>
              </w:rPr>
              <w:t xml:space="preserve"> be approved by the responsible person of the</w:t>
            </w:r>
            <w:r w:rsidR="00021004">
              <w:rPr>
                <w:lang w:val="en-GB"/>
              </w:rPr>
              <w:t xml:space="preserve"> hosting</w:t>
            </w:r>
            <w:r w:rsidRPr="00737DA5">
              <w:rPr>
                <w:lang w:val="en-GB"/>
              </w:rPr>
              <w:t xml:space="preserve"> beneficiary</w:t>
            </w:r>
            <w:r>
              <w:rPr>
                <w:lang w:val="en-GB"/>
              </w:rPr>
              <w:t>, and it</w:t>
            </w:r>
            <w:r w:rsidRPr="00A71788">
              <w:rPr>
                <w:lang w:val="en-GB"/>
              </w:rPr>
              <w:t xml:space="preserve"> must clearly describe </w:t>
            </w:r>
            <w:r>
              <w:rPr>
                <w:lang w:val="en-GB"/>
              </w:rPr>
              <w:t xml:space="preserve">what was done by the employee and </w:t>
            </w:r>
            <w:r w:rsidRPr="00A71788">
              <w:rPr>
                <w:lang w:val="en-GB"/>
              </w:rPr>
              <w:t>where.</w:t>
            </w:r>
          </w:p>
          <w:p w14:paraId="0B2EBA36" w14:textId="04849776" w:rsidR="0040235A" w:rsidRDefault="0040235A" w:rsidP="0040235A">
            <w:pPr>
              <w:rPr>
                <w:lang w:val="en-GB"/>
              </w:rPr>
            </w:pPr>
            <w:r w:rsidRPr="00737DA5">
              <w:rPr>
                <w:lang w:val="en-GB"/>
              </w:rPr>
              <w:t xml:space="preserve">b) </w:t>
            </w:r>
            <w:r w:rsidRPr="00A71788">
              <w:rPr>
                <w:lang w:val="en-GB"/>
              </w:rPr>
              <w:t>After sign</w:t>
            </w:r>
            <w:r w:rsidR="0087663D">
              <w:rPr>
                <w:lang w:val="en-GB"/>
              </w:rPr>
              <w:t>ing the</w:t>
            </w:r>
            <w:r w:rsidRPr="00A71788">
              <w:rPr>
                <w:lang w:val="en-GB"/>
              </w:rPr>
              <w:t xml:space="preserve"> subsidy contract 10% of the project value is to be reimbursed. </w:t>
            </w:r>
            <w:r w:rsidRPr="00737DA5">
              <w:rPr>
                <w:lang w:val="en-GB"/>
              </w:rPr>
              <w:t>Before reimbursement</w:t>
            </w:r>
            <w:r>
              <w:rPr>
                <w:lang w:val="en-GB"/>
              </w:rPr>
              <w:t xml:space="preserve"> of the remain</w:t>
            </w:r>
            <w:r w:rsidR="009F0DC2">
              <w:rPr>
                <w:lang w:val="en-GB"/>
              </w:rPr>
              <w:t>ing</w:t>
            </w:r>
            <w:r>
              <w:rPr>
                <w:lang w:val="en-GB"/>
              </w:rPr>
              <w:t xml:space="preserve"> costs</w:t>
            </w:r>
            <w:r w:rsidRPr="00737DA5">
              <w:rPr>
                <w:lang w:val="en-GB"/>
              </w:rPr>
              <w:t xml:space="preserve"> other documents from point a) will be checked.</w:t>
            </w:r>
          </w:p>
          <w:p w14:paraId="3F57A266" w14:textId="6E23A709" w:rsidR="00FE1BD3" w:rsidRPr="00737DA5" w:rsidRDefault="00661842" w:rsidP="0040235A">
            <w:pPr>
              <w:rPr>
                <w:lang w:val="en-GB"/>
              </w:rPr>
            </w:pPr>
            <w:r>
              <w:rPr>
                <w:lang w:val="en-GB"/>
              </w:rPr>
              <w:t xml:space="preserve">It is essential to get assurance that the outputs/results reported are real. The control thus consists </w:t>
            </w:r>
            <w:r w:rsidR="00C379BA">
              <w:rPr>
                <w:lang w:val="en-GB"/>
              </w:rPr>
              <w:t xml:space="preserve">of </w:t>
            </w:r>
            <w:r>
              <w:rPr>
                <w:lang w:val="en-GB"/>
              </w:rPr>
              <w:t xml:space="preserve">checking whether the project </w:t>
            </w:r>
            <w:r w:rsidR="00C379BA">
              <w:rPr>
                <w:lang w:val="en-GB"/>
              </w:rPr>
              <w:t xml:space="preserve">was </w:t>
            </w:r>
            <w:r>
              <w:rPr>
                <w:lang w:val="en-GB"/>
              </w:rPr>
              <w:t xml:space="preserve">fully </w:t>
            </w:r>
            <w:r w:rsidR="00C379BA">
              <w:rPr>
                <w:lang w:val="en-GB"/>
              </w:rPr>
              <w:t xml:space="preserve">implemented </w:t>
            </w:r>
            <w:r>
              <w:rPr>
                <w:lang w:val="en-GB"/>
              </w:rPr>
              <w:t>and the outputs/results were delivered in line with the conditions set by the programme authorities (the outputs/results need to be well documented). The actual costs borne by the beneficiary in relation to the delivered outputs/results will not be checked.</w:t>
            </w:r>
          </w:p>
          <w:p w14:paraId="1AAA5959" w14:textId="5D6EFC5B" w:rsidR="0040235A" w:rsidRDefault="0040235A" w:rsidP="0040235A">
            <w:pPr>
              <w:rPr>
                <w:lang w:val="en-GB"/>
              </w:rPr>
            </w:pPr>
            <w:r w:rsidRPr="00737DA5">
              <w:rPr>
                <w:lang w:val="en-GB"/>
              </w:rPr>
              <w:t>Control is done by MA/JS; the original documentation is checked, which is kept by the beneficiaries.</w:t>
            </w:r>
          </w:p>
          <w:p w14:paraId="143279DC" w14:textId="3CF969C5" w:rsidR="0040235A" w:rsidRPr="00C70EB6" w:rsidRDefault="0040235A" w:rsidP="0040235A">
            <w:pPr>
              <w:rPr>
                <w:lang w:val="en-GB"/>
              </w:rPr>
            </w:pPr>
            <w:r w:rsidRPr="00A71788">
              <w:rPr>
                <w:lang w:val="en-GB"/>
              </w:rPr>
              <w:t xml:space="preserve">c) The original documents are kept by the project partners (beneficiaries) and </w:t>
            </w:r>
            <w:r w:rsidR="00C57571">
              <w:rPr>
                <w:lang w:val="en-GB"/>
              </w:rPr>
              <w:t xml:space="preserve">shall be made </w:t>
            </w:r>
            <w:r w:rsidRPr="00A71788">
              <w:rPr>
                <w:lang w:val="en-GB"/>
              </w:rPr>
              <w:t xml:space="preserve">available in case of site visits and/or audit controls. The relevant data/documents will be collected by beneficiaries and uploaded in </w:t>
            </w:r>
            <w:proofErr w:type="spellStart"/>
            <w:r w:rsidRPr="00A71788">
              <w:rPr>
                <w:lang w:val="en-GB"/>
              </w:rPr>
              <w:t>Jems</w:t>
            </w:r>
            <w:proofErr w:type="spellEnd"/>
            <w:r w:rsidRPr="00A71788">
              <w:rPr>
                <w:lang w:val="en-GB"/>
              </w:rPr>
              <w:t xml:space="preserve"> </w:t>
            </w:r>
            <w:r w:rsidR="009803A5">
              <w:rPr>
                <w:lang w:val="en-GB"/>
              </w:rPr>
              <w:t xml:space="preserve">monitoring system </w:t>
            </w:r>
            <w:r w:rsidRPr="00A71788">
              <w:rPr>
                <w:lang w:val="en-GB"/>
              </w:rPr>
              <w:t>in process of reporting.</w:t>
            </w:r>
            <w:r w:rsidRPr="00737DA5">
              <w:rPr>
                <w:lang w:val="en-GB"/>
              </w:rPr>
              <w:t xml:space="preserve"> </w:t>
            </w:r>
          </w:p>
        </w:tc>
      </w:tr>
      <w:tr w:rsidR="0040235A" w:rsidRPr="00737DA5" w14:paraId="63CE72A4" w14:textId="77777777" w:rsidTr="00A52926">
        <w:tc>
          <w:tcPr>
            <w:tcW w:w="6997" w:type="dxa"/>
          </w:tcPr>
          <w:p w14:paraId="2A1C22EF" w14:textId="77777777" w:rsidR="0040235A" w:rsidRPr="00737DA5" w:rsidRDefault="0040235A" w:rsidP="0040235A">
            <w:pPr>
              <w:rPr>
                <w:lang w:val="en-GB"/>
              </w:rPr>
            </w:pPr>
            <w:r w:rsidRPr="00737DA5">
              <w:rPr>
                <w:lang w:val="en-GB"/>
              </w:rPr>
              <w:t>1.11 Possible perverse incentives, mitigating measures(</w:t>
            </w:r>
            <w:r w:rsidRPr="00737DA5">
              <w:rPr>
                <w:vertAlign w:val="superscript"/>
                <w:lang w:val="en-GB"/>
              </w:rPr>
              <w:t>4</w:t>
            </w:r>
            <w:r w:rsidRPr="00737DA5">
              <w:rPr>
                <w:lang w:val="en-GB"/>
              </w:rPr>
              <w:t>) and the estimated level of risk (high/medium/low)</w:t>
            </w:r>
          </w:p>
        </w:tc>
        <w:tc>
          <w:tcPr>
            <w:tcW w:w="6997" w:type="dxa"/>
          </w:tcPr>
          <w:p w14:paraId="1B78E2F4" w14:textId="12A263D5" w:rsidR="00D33DD8" w:rsidRDefault="00D33DD8" w:rsidP="00D33DD8">
            <w:pPr>
              <w:rPr>
                <w:lang w:val="en-GB"/>
              </w:rPr>
            </w:pPr>
            <w:r w:rsidRPr="001C65FA">
              <w:rPr>
                <w:lang w:val="en-GB"/>
              </w:rPr>
              <w:t xml:space="preserve">All project proposals are subject to an assessment, performed by the Monitoring Committee/JS according to quality criteria in line with provisions of </w:t>
            </w:r>
            <w:r w:rsidRPr="00D33DD8">
              <w:rPr>
                <w:lang w:val="en-GB"/>
              </w:rPr>
              <w:t>Article 22</w:t>
            </w:r>
            <w:r w:rsidRPr="001C65FA">
              <w:rPr>
                <w:lang w:val="en-GB"/>
              </w:rPr>
              <w:t xml:space="preserve"> of the </w:t>
            </w:r>
            <w:proofErr w:type="spellStart"/>
            <w:r w:rsidRPr="001C65FA">
              <w:rPr>
                <w:lang w:val="en-GB"/>
              </w:rPr>
              <w:t>Interreg</w:t>
            </w:r>
            <w:proofErr w:type="spellEnd"/>
            <w:r w:rsidRPr="001C65FA">
              <w:rPr>
                <w:lang w:val="en-GB"/>
              </w:rPr>
              <w:t xml:space="preserve"> regulation before approval and only relevant projects will be approved. The quality criteria </w:t>
            </w:r>
            <w:r w:rsidR="00C523FF">
              <w:rPr>
                <w:lang w:val="en-GB"/>
              </w:rPr>
              <w:t>will be</w:t>
            </w:r>
            <w:r w:rsidR="00C523FF" w:rsidRPr="001C65FA">
              <w:rPr>
                <w:lang w:val="en-GB"/>
              </w:rPr>
              <w:t xml:space="preserve"> </w:t>
            </w:r>
            <w:r w:rsidRPr="001C65FA">
              <w:rPr>
                <w:lang w:val="en-GB"/>
              </w:rPr>
              <w:t xml:space="preserve">published with the call for proposal and equally applied to all </w:t>
            </w:r>
            <w:r>
              <w:rPr>
                <w:lang w:val="en-GB"/>
              </w:rPr>
              <w:t xml:space="preserve">small-scale </w:t>
            </w:r>
            <w:r w:rsidRPr="001C65FA">
              <w:rPr>
                <w:lang w:val="en-GB"/>
              </w:rPr>
              <w:t>project applications.</w:t>
            </w:r>
          </w:p>
          <w:p w14:paraId="59E6C1DC" w14:textId="361A20B4" w:rsidR="0040235A" w:rsidRDefault="0040235A" w:rsidP="0040235A">
            <w:pPr>
              <w:rPr>
                <w:lang w:val="en-GB"/>
              </w:rPr>
            </w:pPr>
            <w:r>
              <w:rPr>
                <w:lang w:val="en-GB"/>
              </w:rPr>
              <w:t xml:space="preserve">The risk of the project not being implemented after the first 10% of project value is reimbursed, </w:t>
            </w:r>
            <w:r w:rsidR="00D33DD8">
              <w:rPr>
                <w:lang w:val="en-GB"/>
              </w:rPr>
              <w:t xml:space="preserve">due to </w:t>
            </w:r>
            <w:r w:rsidRPr="001566FA">
              <w:rPr>
                <w:lang w:val="en-GB"/>
              </w:rPr>
              <w:t xml:space="preserve">human factor or force majeure (illness) which </w:t>
            </w:r>
            <w:r>
              <w:rPr>
                <w:lang w:val="en-GB"/>
              </w:rPr>
              <w:t>may</w:t>
            </w:r>
            <w:r w:rsidRPr="001566FA">
              <w:rPr>
                <w:lang w:val="en-GB"/>
              </w:rPr>
              <w:t xml:space="preserve"> lead to termination of the contract between the employer and the employee</w:t>
            </w:r>
            <w:r w:rsidR="009F0DC2">
              <w:rPr>
                <w:lang w:val="en-GB"/>
              </w:rPr>
              <w:t>, is classified as low</w:t>
            </w:r>
            <w:r w:rsidRPr="001566FA">
              <w:rPr>
                <w:lang w:val="en-GB"/>
              </w:rPr>
              <w:t>.</w:t>
            </w:r>
            <w:r w:rsidR="00D33DD8">
              <w:rPr>
                <w:lang w:val="en-GB"/>
              </w:rPr>
              <w:t xml:space="preserve"> Project partners </w:t>
            </w:r>
            <w:r w:rsidR="009F0DC2">
              <w:rPr>
                <w:lang w:val="en-GB"/>
              </w:rPr>
              <w:t>could</w:t>
            </w:r>
            <w:r w:rsidR="00D33DD8">
              <w:rPr>
                <w:lang w:val="en-GB"/>
              </w:rPr>
              <w:t xml:space="preserve"> have a possibility to </w:t>
            </w:r>
            <w:r w:rsidR="00C523FF">
              <w:rPr>
                <w:lang w:val="en-GB"/>
              </w:rPr>
              <w:t xml:space="preserve">assign </w:t>
            </w:r>
            <w:r w:rsidR="00D33DD8">
              <w:rPr>
                <w:lang w:val="en-GB"/>
              </w:rPr>
              <w:t>another employee in case of termination of the contract (the quality of the project must not be influenced).</w:t>
            </w:r>
          </w:p>
          <w:p w14:paraId="6B63DC99" w14:textId="23926A27" w:rsidR="0040235A" w:rsidRDefault="0040235A" w:rsidP="0040235A">
            <w:pPr>
              <w:rPr>
                <w:lang w:val="en-GB"/>
              </w:rPr>
            </w:pPr>
            <w:r>
              <w:rPr>
                <w:lang w:val="en-GB"/>
              </w:rPr>
              <w:t xml:space="preserve">To avoid </w:t>
            </w:r>
            <w:r w:rsidR="00D33DD8">
              <w:rPr>
                <w:lang w:val="en-GB"/>
              </w:rPr>
              <w:t xml:space="preserve">any other </w:t>
            </w:r>
            <w:r>
              <w:rPr>
                <w:lang w:val="en-GB"/>
              </w:rPr>
              <w:t xml:space="preserve">bad scenarios, monitoring of project implementation will be done </w:t>
            </w:r>
            <w:r w:rsidR="009F0DC2">
              <w:rPr>
                <w:lang w:val="en-GB"/>
              </w:rPr>
              <w:t xml:space="preserve">within </w:t>
            </w:r>
            <w:r>
              <w:rPr>
                <w:lang w:val="en-GB"/>
              </w:rPr>
              <w:t xml:space="preserve">six months after start of the project. </w:t>
            </w:r>
          </w:p>
          <w:p w14:paraId="1474E6FF" w14:textId="619446F6" w:rsidR="0040235A" w:rsidRPr="00737DA5" w:rsidRDefault="0040235A" w:rsidP="0040235A">
            <w:pPr>
              <w:rPr>
                <w:lang w:val="en-GB"/>
              </w:rPr>
            </w:pPr>
            <w:r>
              <w:rPr>
                <w:lang w:val="en-GB"/>
              </w:rPr>
              <w:t xml:space="preserve">The partners will be </w:t>
            </w:r>
            <w:r w:rsidRPr="00801656">
              <w:rPr>
                <w:lang w:val="en-GB"/>
              </w:rPr>
              <w:t>encourage</w:t>
            </w:r>
            <w:r>
              <w:rPr>
                <w:lang w:val="en-GB"/>
              </w:rPr>
              <w:t>d</w:t>
            </w:r>
            <w:r w:rsidRPr="00801656">
              <w:rPr>
                <w:lang w:val="en-GB"/>
              </w:rPr>
              <w:t xml:space="preserve"> to </w:t>
            </w:r>
            <w:r>
              <w:rPr>
                <w:lang w:val="en-GB"/>
              </w:rPr>
              <w:t xml:space="preserve">fully involve and use the opportunity of having a host employee in partner organizations to contribute at most to the </w:t>
            </w:r>
            <w:r w:rsidRPr="00801656">
              <w:rPr>
                <w:lang w:val="en-GB"/>
              </w:rPr>
              <w:t>quality of</w:t>
            </w:r>
            <w:r>
              <w:rPr>
                <w:lang w:val="en-GB"/>
              </w:rPr>
              <w:t xml:space="preserve"> project results</w:t>
            </w:r>
            <w:r w:rsidR="00D33DD8">
              <w:rPr>
                <w:lang w:val="en-GB"/>
              </w:rPr>
              <w:t>, strengthen the cooperation and increase the trust among organizations and target groups</w:t>
            </w:r>
            <w:r w:rsidRPr="00801656">
              <w:rPr>
                <w:lang w:val="en-GB"/>
              </w:rPr>
              <w:t>.</w:t>
            </w:r>
            <w:r w:rsidR="00D33DD8">
              <w:rPr>
                <w:lang w:val="en-GB"/>
              </w:rPr>
              <w:t xml:space="preserve"> </w:t>
            </w:r>
          </w:p>
        </w:tc>
      </w:tr>
      <w:tr w:rsidR="0040235A" w:rsidRPr="00737DA5" w14:paraId="02305D5F" w14:textId="77777777" w:rsidTr="00A52926">
        <w:tc>
          <w:tcPr>
            <w:tcW w:w="6997" w:type="dxa"/>
          </w:tcPr>
          <w:p w14:paraId="0210EBA7" w14:textId="77777777" w:rsidR="0040235A" w:rsidRPr="00737DA5" w:rsidRDefault="0040235A" w:rsidP="0040235A">
            <w:pPr>
              <w:rPr>
                <w:lang w:val="en-GB"/>
              </w:rPr>
            </w:pPr>
            <w:r w:rsidRPr="00737DA5">
              <w:rPr>
                <w:lang w:val="en-GB"/>
              </w:rPr>
              <w:t>1.12 Total amount (national and EU) expected to be reimbursed by the Commission on this basis</w:t>
            </w:r>
          </w:p>
        </w:tc>
        <w:tc>
          <w:tcPr>
            <w:tcW w:w="6997" w:type="dxa"/>
          </w:tcPr>
          <w:p w14:paraId="5E2D12A0" w14:textId="09320B36" w:rsidR="0040235A" w:rsidRPr="00737DA5" w:rsidRDefault="0040235A" w:rsidP="00C44098">
            <w:pPr>
              <w:rPr>
                <w:lang w:val="en-GB"/>
              </w:rPr>
            </w:pPr>
            <w:r>
              <w:rPr>
                <w:lang w:val="en-GB"/>
              </w:rPr>
              <w:t xml:space="preserve">Total reimbursed amount for the type </w:t>
            </w:r>
            <w:r w:rsidR="009F0DC2">
              <w:rPr>
                <w:lang w:val="en-GB"/>
              </w:rPr>
              <w:t>III</w:t>
            </w:r>
            <w:r>
              <w:rPr>
                <w:lang w:val="en-GB"/>
              </w:rPr>
              <w:t xml:space="preserve"> projects is about 62.500,00 EUR (50.000,00 EUR ERDF (80%) and 12.500,00 EUR of national contribution(20%)).</w:t>
            </w:r>
          </w:p>
        </w:tc>
      </w:tr>
      <w:tr w:rsidR="0040235A" w:rsidRPr="00737DA5" w14:paraId="42B84EA8" w14:textId="77777777" w:rsidTr="00A52926">
        <w:tc>
          <w:tcPr>
            <w:tcW w:w="6997" w:type="dxa"/>
          </w:tcPr>
          <w:p w14:paraId="147AB671" w14:textId="77777777" w:rsidR="0040235A" w:rsidRPr="00737DA5" w:rsidRDefault="0040235A" w:rsidP="0040235A">
            <w:pPr>
              <w:rPr>
                <w:lang w:val="en-GB"/>
              </w:rPr>
            </w:pPr>
            <w:r w:rsidRPr="00737DA5">
              <w:rPr>
                <w:lang w:val="en-GB"/>
              </w:rPr>
              <w:t>(</w:t>
            </w:r>
            <w:r w:rsidRPr="00737DA5">
              <w:rPr>
                <w:vertAlign w:val="superscript"/>
                <w:lang w:val="en-GB"/>
              </w:rPr>
              <w:t>1</w:t>
            </w:r>
            <w:r w:rsidRPr="00737DA5">
              <w:rPr>
                <w:lang w:val="en-GB"/>
              </w:rPr>
              <w:t>) Envisaged starting date of the selection of operations and envisaged final date of their completion (ref. Article 63(5) of CPR).</w:t>
            </w:r>
          </w:p>
          <w:p w14:paraId="42B5D7FB" w14:textId="415F6F5D" w:rsidR="0040235A" w:rsidRPr="00737DA5" w:rsidRDefault="0040235A" w:rsidP="0040235A">
            <w:pPr>
              <w:rPr>
                <w:lang w:val="en-GB"/>
              </w:rPr>
            </w:pPr>
            <w:r w:rsidRPr="00737DA5">
              <w:rPr>
                <w:lang w:val="en-GB"/>
              </w:rPr>
              <w:t>(</w:t>
            </w:r>
            <w:r w:rsidRPr="00737DA5">
              <w:rPr>
                <w:vertAlign w:val="superscript"/>
                <w:lang w:val="en-GB"/>
              </w:rPr>
              <w:t>2</w:t>
            </w:r>
            <w:r w:rsidRPr="00737DA5">
              <w:rPr>
                <w:lang w:val="en-GB"/>
              </w:rPr>
              <w:t xml:space="preserve">) For operations encompassing </w:t>
            </w:r>
            <w:proofErr w:type="spellStart"/>
            <w:r w:rsidR="00E96459">
              <w:t>several</w:t>
            </w:r>
            <w:proofErr w:type="spellEnd"/>
            <w:r w:rsidR="00E96459">
              <w:t xml:space="preserve"> </w:t>
            </w:r>
            <w:proofErr w:type="spellStart"/>
            <w:r w:rsidR="00E96459">
              <w:t>simplified</w:t>
            </w:r>
            <w:proofErr w:type="spellEnd"/>
            <w:r w:rsidR="00E96459">
              <w:t xml:space="preserve"> </w:t>
            </w:r>
            <w:proofErr w:type="spellStart"/>
            <w:r w:rsidR="00E96459">
              <w:t>cost</w:t>
            </w:r>
            <w:proofErr w:type="spellEnd"/>
            <w:r w:rsidR="00E96459">
              <w:t xml:space="preserve"> </w:t>
            </w:r>
            <w:proofErr w:type="spellStart"/>
            <w:r w:rsidR="00E96459">
              <w:t>options</w:t>
            </w:r>
            <w:proofErr w:type="spellEnd"/>
            <w:r w:rsidR="00E96459">
              <w:t xml:space="preserve"> </w:t>
            </w:r>
            <w:proofErr w:type="spellStart"/>
            <w:r w:rsidR="00E96459">
              <w:t>covering</w:t>
            </w:r>
            <w:proofErr w:type="spellEnd"/>
            <w:r w:rsidR="00E96459">
              <w:t xml:space="preserve"> </w:t>
            </w:r>
            <w:proofErr w:type="spellStart"/>
            <w:r w:rsidR="00E96459">
              <w:t>different</w:t>
            </w:r>
            <w:proofErr w:type="spellEnd"/>
            <w:r w:rsidR="00E96459">
              <w:t xml:space="preserve"> </w:t>
            </w:r>
            <w:proofErr w:type="spellStart"/>
            <w:r w:rsidR="00E96459">
              <w:t>categories</w:t>
            </w:r>
            <w:proofErr w:type="spellEnd"/>
            <w:r w:rsidR="00E96459">
              <w:t xml:space="preserve"> </w:t>
            </w:r>
            <w:proofErr w:type="spellStart"/>
            <w:r w:rsidR="00E96459">
              <w:t>of</w:t>
            </w:r>
            <w:proofErr w:type="spellEnd"/>
            <w:r w:rsidR="00E96459">
              <w:t xml:space="preserve"> </w:t>
            </w:r>
            <w:proofErr w:type="spellStart"/>
            <w:r w:rsidR="00E96459">
              <w:t>costs</w:t>
            </w:r>
            <w:proofErr w:type="spellEnd"/>
            <w:r w:rsidR="00E96459">
              <w:t xml:space="preserve">, </w:t>
            </w:r>
            <w:proofErr w:type="spellStart"/>
            <w:r w:rsidR="00E96459">
              <w:t>different</w:t>
            </w:r>
            <w:proofErr w:type="spellEnd"/>
            <w:r w:rsidR="00E96459">
              <w:t xml:space="preserve"> </w:t>
            </w:r>
            <w:proofErr w:type="spellStart"/>
            <w:r w:rsidR="00E96459">
              <w:t>projects</w:t>
            </w:r>
            <w:proofErr w:type="spellEnd"/>
            <w:r w:rsidR="00E96459">
              <w:t xml:space="preserve"> </w:t>
            </w:r>
            <w:proofErr w:type="spellStart"/>
            <w:r w:rsidR="00E96459">
              <w:t>or</w:t>
            </w:r>
            <w:proofErr w:type="spellEnd"/>
            <w:r w:rsidR="00E96459">
              <w:t xml:space="preserve"> </w:t>
            </w:r>
            <w:proofErr w:type="spellStart"/>
            <w:r w:rsidR="00E96459">
              <w:t>successive</w:t>
            </w:r>
            <w:proofErr w:type="spellEnd"/>
            <w:r w:rsidR="00E96459">
              <w:t xml:space="preserve"> </w:t>
            </w:r>
            <w:proofErr w:type="spellStart"/>
            <w:r w:rsidR="00E96459">
              <w:t>phases</w:t>
            </w:r>
            <w:proofErr w:type="spellEnd"/>
            <w:r w:rsidR="00E96459">
              <w:t xml:space="preserve"> </w:t>
            </w:r>
            <w:proofErr w:type="spellStart"/>
            <w:r w:rsidR="00E96459">
              <w:t>of</w:t>
            </w:r>
            <w:proofErr w:type="spellEnd"/>
            <w:r w:rsidR="00E96459">
              <w:t xml:space="preserve"> </w:t>
            </w:r>
            <w:proofErr w:type="spellStart"/>
            <w:r w:rsidR="00E96459">
              <w:t>an</w:t>
            </w:r>
            <w:proofErr w:type="spellEnd"/>
            <w:r w:rsidR="00E96459">
              <w:t xml:space="preserve"> </w:t>
            </w:r>
            <w:proofErr w:type="spellStart"/>
            <w:r w:rsidR="00E96459">
              <w:t>operation</w:t>
            </w:r>
            <w:proofErr w:type="spellEnd"/>
            <w:r w:rsidR="00E96459">
              <w:t xml:space="preserve">, </w:t>
            </w:r>
            <w:proofErr w:type="spellStart"/>
            <w:r w:rsidR="00E96459">
              <w:t>the</w:t>
            </w:r>
            <w:proofErr w:type="spellEnd"/>
            <w:r w:rsidR="00E96459">
              <w:t xml:space="preserve"> </w:t>
            </w:r>
            <w:proofErr w:type="spellStart"/>
            <w:r w:rsidR="00E96459">
              <w:t>fields</w:t>
            </w:r>
            <w:proofErr w:type="spellEnd"/>
            <w:r w:rsidR="00E96459">
              <w:t xml:space="preserve"> 3 to 11 </w:t>
            </w:r>
            <w:proofErr w:type="spellStart"/>
            <w:r w:rsidR="00E96459">
              <w:t>need</w:t>
            </w:r>
            <w:proofErr w:type="spellEnd"/>
            <w:r w:rsidR="00E96459">
              <w:t xml:space="preserve"> to be </w:t>
            </w:r>
            <w:proofErr w:type="spellStart"/>
            <w:r w:rsidR="00E96459">
              <w:t>filled</w:t>
            </w:r>
            <w:proofErr w:type="spellEnd"/>
            <w:r w:rsidR="00E96459">
              <w:t xml:space="preserve"> in </w:t>
            </w:r>
            <w:proofErr w:type="spellStart"/>
            <w:r w:rsidR="00E96459">
              <w:t>for</w:t>
            </w:r>
            <w:proofErr w:type="spellEnd"/>
            <w:r w:rsidR="00E96459">
              <w:t xml:space="preserve"> </w:t>
            </w:r>
            <w:proofErr w:type="spellStart"/>
            <w:r w:rsidR="00E96459">
              <w:t>each</w:t>
            </w:r>
            <w:proofErr w:type="spellEnd"/>
            <w:r w:rsidR="00E96459">
              <w:t xml:space="preserve"> </w:t>
            </w:r>
            <w:proofErr w:type="spellStart"/>
            <w:r w:rsidR="00E96459">
              <w:t>indicator</w:t>
            </w:r>
            <w:proofErr w:type="spellEnd"/>
            <w:r w:rsidR="00E96459">
              <w:t xml:space="preserve"> </w:t>
            </w:r>
            <w:proofErr w:type="spellStart"/>
            <w:r w:rsidR="00E96459">
              <w:t>triggering</w:t>
            </w:r>
            <w:proofErr w:type="spellEnd"/>
            <w:r w:rsidR="00E96459">
              <w:t xml:space="preserve"> </w:t>
            </w:r>
            <w:proofErr w:type="spellStart"/>
            <w:r w:rsidR="00E96459">
              <w:t>reimbursement</w:t>
            </w:r>
            <w:proofErr w:type="spellEnd"/>
            <w:r w:rsidRPr="00737DA5">
              <w:rPr>
                <w:lang w:val="en-GB"/>
              </w:rPr>
              <w:t>.</w:t>
            </w:r>
          </w:p>
          <w:p w14:paraId="552B9B3D" w14:textId="77777777" w:rsidR="0040235A" w:rsidRPr="00737DA5" w:rsidRDefault="0040235A" w:rsidP="0040235A">
            <w:pPr>
              <w:rPr>
                <w:lang w:val="en-GB"/>
              </w:rPr>
            </w:pPr>
            <w:r w:rsidRPr="00737DA5">
              <w:rPr>
                <w:lang w:val="en-GB"/>
              </w:rPr>
              <w:t>(</w:t>
            </w:r>
            <w:r w:rsidRPr="00737DA5">
              <w:rPr>
                <w:vertAlign w:val="superscript"/>
                <w:lang w:val="en-GB"/>
              </w:rPr>
              <w:t>3</w:t>
            </w:r>
            <w:r w:rsidRPr="00737DA5">
              <w:rPr>
                <w:lang w:val="en-GB"/>
              </w:rPr>
              <w:t>) If applicable, indicate the frequency and timing of the adjustment and a clear reference to a specific indicator (including a link to the website where this indicator is published, if applicable).</w:t>
            </w:r>
          </w:p>
          <w:p w14:paraId="04EF51F3" w14:textId="05401B81" w:rsidR="0040235A" w:rsidRPr="00737DA5" w:rsidRDefault="0040235A" w:rsidP="0040235A">
            <w:pPr>
              <w:rPr>
                <w:lang w:val="en-GB"/>
              </w:rPr>
            </w:pPr>
            <w:r w:rsidRPr="00737DA5">
              <w:rPr>
                <w:lang w:val="en-GB"/>
              </w:rPr>
              <w:t>(</w:t>
            </w:r>
            <w:r w:rsidRPr="00737DA5">
              <w:rPr>
                <w:vertAlign w:val="superscript"/>
                <w:lang w:val="en-GB"/>
              </w:rPr>
              <w:t>4</w:t>
            </w:r>
            <w:r w:rsidRPr="00737DA5">
              <w:rPr>
                <w:lang w:val="en-GB"/>
              </w:rPr>
              <w:t>) Are there any potential negative implications on the quality of the supported operations and, if so, what measures (</w:t>
            </w:r>
            <w:r w:rsidR="00E96459" w:rsidRPr="00E96459">
              <w:rPr>
                <w:lang w:val="en-GB"/>
              </w:rPr>
              <w:t xml:space="preserve">e.g. </w:t>
            </w:r>
            <w:r w:rsidRPr="00737DA5">
              <w:rPr>
                <w:lang w:val="en-GB"/>
              </w:rPr>
              <w:t>quality assurance) will be taken to offset this risk?</w:t>
            </w:r>
          </w:p>
        </w:tc>
        <w:tc>
          <w:tcPr>
            <w:tcW w:w="6997" w:type="dxa"/>
          </w:tcPr>
          <w:p w14:paraId="6C278222" w14:textId="77777777" w:rsidR="0040235A" w:rsidRPr="00737DA5" w:rsidRDefault="0040235A" w:rsidP="0040235A">
            <w:pPr>
              <w:rPr>
                <w:lang w:val="en-GB"/>
              </w:rPr>
            </w:pPr>
          </w:p>
        </w:tc>
      </w:tr>
    </w:tbl>
    <w:p w14:paraId="33AE6A0F" w14:textId="77777777" w:rsidR="00CC132F" w:rsidRPr="00737DA5" w:rsidRDefault="00CC132F" w:rsidP="00E53254">
      <w:pPr>
        <w:rPr>
          <w:lang w:val="en-GB"/>
        </w:rPr>
      </w:pPr>
    </w:p>
    <w:p w14:paraId="452791EC" w14:textId="77777777" w:rsidR="00E53254" w:rsidRPr="00737DA5" w:rsidRDefault="00E53254" w:rsidP="00E53254">
      <w:pPr>
        <w:pStyle w:val="Odstavekseznama"/>
        <w:numPr>
          <w:ilvl w:val="0"/>
          <w:numId w:val="1"/>
        </w:numPr>
        <w:rPr>
          <w:b/>
          <w:lang w:val="en-GB"/>
        </w:rPr>
      </w:pPr>
      <w:r w:rsidRPr="00737DA5">
        <w:rPr>
          <w:b/>
          <w:lang w:val="en-GB"/>
        </w:rPr>
        <w:t>Calculation of the standard scale of unit costs, lump sums or flat rates</w:t>
      </w:r>
    </w:p>
    <w:p w14:paraId="1A15E7B9" w14:textId="77777777" w:rsidR="00B65532" w:rsidRPr="00737DA5" w:rsidRDefault="00B65532" w:rsidP="00B65532">
      <w:pPr>
        <w:pStyle w:val="Odstavekseznama"/>
        <w:rPr>
          <w:lang w:val="en-GB"/>
        </w:rPr>
      </w:pPr>
    </w:p>
    <w:p w14:paraId="556767A4" w14:textId="076BD9BE" w:rsidR="00E53254" w:rsidRPr="00737DA5" w:rsidRDefault="00E53254" w:rsidP="008F79EA">
      <w:pPr>
        <w:pStyle w:val="Odstavekseznama"/>
        <w:numPr>
          <w:ilvl w:val="0"/>
          <w:numId w:val="2"/>
        </w:numPr>
        <w:spacing w:line="240" w:lineRule="auto"/>
        <w:ind w:left="714" w:hanging="357"/>
        <w:rPr>
          <w:rFonts w:cstheme="minorHAnsi"/>
          <w:lang w:val="en-GB"/>
        </w:rPr>
      </w:pPr>
      <w:r w:rsidRPr="00737DA5">
        <w:rPr>
          <w:rFonts w:cstheme="minorHAnsi"/>
          <w:lang w:val="en-GB"/>
        </w:rPr>
        <w:t>Source of data used to calculate the standard scale of unit costs, lump sums or flat rates (who produced, collected and recorded the data; where the data are stored; cut-off dates; validation, etc.)</w:t>
      </w:r>
      <w:r w:rsidR="00E96459">
        <w:rPr>
          <w:rFonts w:cstheme="minorHAnsi"/>
          <w:lang w:val="en-GB"/>
        </w:rPr>
        <w:t>.</w:t>
      </w:r>
    </w:p>
    <w:tbl>
      <w:tblPr>
        <w:tblStyle w:val="Tabelamrea"/>
        <w:tblW w:w="0" w:type="auto"/>
        <w:tblInd w:w="-5" w:type="dxa"/>
        <w:tblLook w:val="04A0" w:firstRow="1" w:lastRow="0" w:firstColumn="1" w:lastColumn="0" w:noHBand="0" w:noVBand="1"/>
      </w:tblPr>
      <w:tblGrid>
        <w:gridCol w:w="13999"/>
      </w:tblGrid>
      <w:tr w:rsidR="008F79EA" w:rsidRPr="00737DA5" w14:paraId="756E655B" w14:textId="77777777" w:rsidTr="00C4592C">
        <w:tc>
          <w:tcPr>
            <w:tcW w:w="13999" w:type="dxa"/>
          </w:tcPr>
          <w:p w14:paraId="6527534D" w14:textId="38042539" w:rsidR="002B7706" w:rsidRPr="00CB118F" w:rsidRDefault="009F0DC2" w:rsidP="002B7706">
            <w:pPr>
              <w:pStyle w:val="Default"/>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2B7706" w:rsidRPr="00CB118F">
              <w:rPr>
                <w:rFonts w:asciiTheme="minorHAnsi" w:hAnsiTheme="minorHAnsi" w:cstheme="minorHAnsi"/>
                <w:sz w:val="22"/>
                <w:szCs w:val="22"/>
                <w:lang w:val="en-GB"/>
              </w:rPr>
              <w:t>expenditure</w:t>
            </w:r>
            <w:r>
              <w:rPr>
                <w:rFonts w:asciiTheme="minorHAnsi" w:hAnsiTheme="minorHAnsi" w:cstheme="minorHAnsi"/>
                <w:sz w:val="22"/>
                <w:szCs w:val="22"/>
                <w:lang w:val="en-GB"/>
              </w:rPr>
              <w:t>s of current period 2014-2020 were</w:t>
            </w:r>
            <w:r w:rsidR="002B7706" w:rsidRPr="00CB118F">
              <w:rPr>
                <w:rFonts w:asciiTheme="minorHAnsi" w:hAnsiTheme="minorHAnsi" w:cstheme="minorHAnsi"/>
                <w:sz w:val="22"/>
                <w:szCs w:val="22"/>
                <w:lang w:val="en-GB"/>
              </w:rPr>
              <w:t xml:space="preserve"> verified and validated as eligible expenditure by national controllers through management verifications before the submission to the MA/JS (in line with the management and control system of the programme and the relevant provisions in the CPR and </w:t>
            </w:r>
            <w:proofErr w:type="spellStart"/>
            <w:r w:rsidR="002B7706" w:rsidRPr="00CB118F">
              <w:rPr>
                <w:rFonts w:asciiTheme="minorHAnsi" w:hAnsiTheme="minorHAnsi" w:cstheme="minorHAnsi"/>
                <w:sz w:val="22"/>
                <w:szCs w:val="22"/>
                <w:lang w:val="en-GB"/>
              </w:rPr>
              <w:t>Interreg</w:t>
            </w:r>
            <w:proofErr w:type="spellEnd"/>
            <w:r w:rsidR="002B7706" w:rsidRPr="00CB118F">
              <w:rPr>
                <w:rFonts w:asciiTheme="minorHAnsi" w:hAnsiTheme="minorHAnsi" w:cstheme="minorHAnsi"/>
                <w:sz w:val="22"/>
                <w:szCs w:val="22"/>
                <w:lang w:val="en-GB"/>
              </w:rPr>
              <w:t xml:space="preserve"> Regulation). The corresponding list of expenditures, certification of the expenditure as well as overall project payment claims are stored in the electronic monitoring system (</w:t>
            </w:r>
            <w:proofErr w:type="spellStart"/>
            <w:r w:rsidR="002B7706" w:rsidRPr="00CB118F">
              <w:rPr>
                <w:rFonts w:asciiTheme="minorHAnsi" w:hAnsiTheme="minorHAnsi" w:cstheme="minorHAnsi"/>
                <w:sz w:val="22"/>
                <w:szCs w:val="22"/>
                <w:lang w:val="en-GB"/>
              </w:rPr>
              <w:t>eMS</w:t>
            </w:r>
            <w:proofErr w:type="spellEnd"/>
            <w:r w:rsidR="002B7706" w:rsidRPr="00CB118F">
              <w:rPr>
                <w:rFonts w:asciiTheme="minorHAnsi" w:hAnsiTheme="minorHAnsi" w:cstheme="minorHAnsi"/>
                <w:sz w:val="22"/>
                <w:szCs w:val="22"/>
                <w:lang w:val="en-GB"/>
              </w:rPr>
              <w:t>). Until the cut-off date, almost half of approved projects for the 2</w:t>
            </w:r>
            <w:r>
              <w:rPr>
                <w:rFonts w:asciiTheme="minorHAnsi" w:hAnsiTheme="minorHAnsi" w:cstheme="minorHAnsi"/>
                <w:sz w:val="22"/>
                <w:szCs w:val="22"/>
                <w:lang w:val="en-GB"/>
              </w:rPr>
              <w:t>014-2020 programming period had</w:t>
            </w:r>
            <w:r w:rsidR="002B7706" w:rsidRPr="00CB118F">
              <w:rPr>
                <w:rFonts w:asciiTheme="minorHAnsi" w:hAnsiTheme="minorHAnsi" w:cstheme="minorHAnsi"/>
                <w:sz w:val="22"/>
                <w:szCs w:val="22"/>
                <w:lang w:val="en-GB"/>
              </w:rPr>
              <w:t xml:space="preserve"> their</w:t>
            </w:r>
            <w:r>
              <w:rPr>
                <w:rFonts w:asciiTheme="minorHAnsi" w:hAnsiTheme="minorHAnsi" w:cstheme="minorHAnsi"/>
                <w:sz w:val="22"/>
                <w:szCs w:val="22"/>
                <w:lang w:val="en-GB"/>
              </w:rPr>
              <w:t xml:space="preserve"> expenditures verifi</w:t>
            </w:r>
            <w:r w:rsidR="00187FFB">
              <w:rPr>
                <w:rFonts w:asciiTheme="minorHAnsi" w:hAnsiTheme="minorHAnsi" w:cstheme="minorHAnsi"/>
                <w:sz w:val="22"/>
                <w:szCs w:val="22"/>
                <w:lang w:val="en-GB"/>
              </w:rPr>
              <w:t>ed</w:t>
            </w:r>
            <w:r>
              <w:rPr>
                <w:rFonts w:asciiTheme="minorHAnsi" w:hAnsiTheme="minorHAnsi" w:cstheme="minorHAnsi"/>
                <w:sz w:val="22"/>
                <w:szCs w:val="22"/>
                <w:lang w:val="en-GB"/>
              </w:rPr>
              <w:t xml:space="preserve"> and submitted to MA/JS</w:t>
            </w:r>
            <w:r w:rsidR="002B7706" w:rsidRPr="00CB118F">
              <w:rPr>
                <w:rFonts w:asciiTheme="minorHAnsi" w:hAnsiTheme="minorHAnsi" w:cstheme="minorHAnsi"/>
                <w:sz w:val="22"/>
                <w:szCs w:val="22"/>
                <w:lang w:val="en-GB"/>
              </w:rPr>
              <w:t>.</w:t>
            </w:r>
          </w:p>
          <w:p w14:paraId="3B390E1A" w14:textId="61F6228A" w:rsidR="002B7706" w:rsidRPr="00CB118F" w:rsidRDefault="002B7706" w:rsidP="002B7706">
            <w:pPr>
              <w:pStyle w:val="Default"/>
              <w:rPr>
                <w:rFonts w:asciiTheme="minorHAnsi" w:hAnsiTheme="minorHAnsi" w:cstheme="minorHAnsi"/>
                <w:sz w:val="22"/>
                <w:szCs w:val="22"/>
                <w:lang w:val="en-GB"/>
              </w:rPr>
            </w:pPr>
            <w:r w:rsidRPr="00CB118F">
              <w:rPr>
                <w:rFonts w:asciiTheme="minorHAnsi" w:hAnsiTheme="minorHAnsi" w:cstheme="minorHAnsi"/>
                <w:sz w:val="22"/>
                <w:szCs w:val="22"/>
                <w:lang w:val="en-GB"/>
              </w:rPr>
              <w:t>For the purposes of the SCO calculation necessary data was extracted from the electronic monitoring s</w:t>
            </w:r>
            <w:r w:rsidR="00FE2BE7">
              <w:rPr>
                <w:rFonts w:asciiTheme="minorHAnsi" w:hAnsiTheme="minorHAnsi" w:cstheme="minorHAnsi"/>
                <w:sz w:val="22"/>
                <w:szCs w:val="22"/>
                <w:lang w:val="en-GB"/>
              </w:rPr>
              <w:t xml:space="preserve">ystem and validated </w:t>
            </w:r>
            <w:r w:rsidRPr="00CB118F">
              <w:rPr>
                <w:rFonts w:asciiTheme="minorHAnsi" w:hAnsiTheme="minorHAnsi" w:cstheme="minorHAnsi"/>
                <w:sz w:val="22"/>
                <w:szCs w:val="22"/>
                <w:lang w:val="en-GB"/>
              </w:rPr>
              <w:t>costs of approved projects have been considered for the calculation</w:t>
            </w:r>
            <w:r w:rsidR="00FE2BE7">
              <w:rPr>
                <w:rFonts w:asciiTheme="minorHAnsi" w:hAnsiTheme="minorHAnsi" w:cstheme="minorHAnsi"/>
                <w:sz w:val="22"/>
                <w:szCs w:val="22"/>
                <w:lang w:val="en-GB"/>
              </w:rPr>
              <w:t>s</w:t>
            </w:r>
            <w:r w:rsidRPr="00CB118F">
              <w:rPr>
                <w:rFonts w:asciiTheme="minorHAnsi" w:hAnsiTheme="minorHAnsi" w:cstheme="minorHAnsi"/>
                <w:sz w:val="22"/>
                <w:szCs w:val="22"/>
                <w:lang w:val="en-GB"/>
              </w:rPr>
              <w:t xml:space="preserve"> to define the</w:t>
            </w:r>
            <w:r w:rsidR="00CB118F" w:rsidRPr="00CB118F">
              <w:rPr>
                <w:rFonts w:asciiTheme="minorHAnsi" w:hAnsiTheme="minorHAnsi" w:cstheme="minorHAnsi"/>
                <w:sz w:val="22"/>
                <w:szCs w:val="22"/>
                <w:lang w:val="en-GB"/>
              </w:rPr>
              <w:t xml:space="preserve"> cost simplifications that are proposed (unit cost, lump sum) in the 2021-2027 programming period.</w:t>
            </w:r>
          </w:p>
          <w:p w14:paraId="46DBB2FD" w14:textId="76EF6AB2" w:rsidR="008F79EA" w:rsidRPr="00CB118F" w:rsidRDefault="005478CE" w:rsidP="00187FFB">
            <w:pPr>
              <w:pStyle w:val="Default"/>
              <w:rPr>
                <w:rFonts w:asciiTheme="minorHAnsi" w:hAnsiTheme="minorHAnsi" w:cstheme="minorHAnsi"/>
                <w:sz w:val="22"/>
                <w:szCs w:val="22"/>
                <w:lang w:val="en-GB"/>
              </w:rPr>
            </w:pPr>
            <w:r w:rsidRPr="00CB118F">
              <w:rPr>
                <w:rFonts w:asciiTheme="minorHAnsi" w:hAnsiTheme="minorHAnsi" w:cstheme="minorHAnsi"/>
                <w:sz w:val="22"/>
                <w:szCs w:val="22"/>
                <w:lang w:val="en-GB"/>
              </w:rPr>
              <w:t xml:space="preserve">The data (i.e. reported and certified events related expenditures) that were used for analyses were collected from the </w:t>
            </w:r>
            <w:proofErr w:type="spellStart"/>
            <w:r w:rsidRPr="00CB118F">
              <w:rPr>
                <w:rFonts w:asciiTheme="minorHAnsi" w:hAnsiTheme="minorHAnsi" w:cstheme="minorHAnsi"/>
                <w:sz w:val="22"/>
                <w:szCs w:val="22"/>
                <w:lang w:val="en-GB"/>
              </w:rPr>
              <w:t>eMS</w:t>
            </w:r>
            <w:proofErr w:type="spellEnd"/>
            <w:r w:rsidRPr="00CB118F">
              <w:rPr>
                <w:rFonts w:asciiTheme="minorHAnsi" w:hAnsiTheme="minorHAnsi" w:cstheme="minorHAnsi"/>
                <w:sz w:val="22"/>
                <w:szCs w:val="22"/>
                <w:lang w:val="en-GB"/>
              </w:rPr>
              <w:t xml:space="preserve"> of the respective programme</w:t>
            </w:r>
            <w:r w:rsidR="00FE2BE7">
              <w:rPr>
                <w:rFonts w:asciiTheme="minorHAnsi" w:hAnsiTheme="minorHAnsi" w:cstheme="minorHAnsi"/>
                <w:sz w:val="22"/>
                <w:szCs w:val="22"/>
                <w:lang w:val="en-GB"/>
              </w:rPr>
              <w:t xml:space="preserve"> at the invoice level</w:t>
            </w:r>
            <w:r w:rsidRPr="00CB118F">
              <w:rPr>
                <w:rFonts w:asciiTheme="minorHAnsi" w:hAnsiTheme="minorHAnsi" w:cstheme="minorHAnsi"/>
                <w:sz w:val="22"/>
                <w:szCs w:val="22"/>
                <w:lang w:val="en-GB"/>
              </w:rPr>
              <w:t xml:space="preserve">. The data are stored in </w:t>
            </w:r>
            <w:proofErr w:type="spellStart"/>
            <w:r w:rsidRPr="00CB118F">
              <w:rPr>
                <w:rFonts w:asciiTheme="minorHAnsi" w:hAnsiTheme="minorHAnsi" w:cstheme="minorHAnsi"/>
                <w:sz w:val="22"/>
                <w:szCs w:val="22"/>
                <w:lang w:val="en-GB"/>
              </w:rPr>
              <w:t>eMS</w:t>
            </w:r>
            <w:proofErr w:type="spellEnd"/>
            <w:r w:rsidRPr="00CB118F">
              <w:rPr>
                <w:rFonts w:asciiTheme="minorHAnsi" w:hAnsiTheme="minorHAnsi" w:cstheme="minorHAnsi"/>
                <w:sz w:val="22"/>
                <w:szCs w:val="22"/>
                <w:lang w:val="en-GB"/>
              </w:rPr>
              <w:t xml:space="preserve"> under partner/project progress reports, attachments uploaded by the partners and the FLC in the reports and the relevant invoices. The data were carefully checked to ensure completeness and to assure, they are of proven quality in relation to its objectives. The reliability of data is supported by the confirmation of the national control as well as our own and CA confirmation.</w:t>
            </w:r>
            <w:r w:rsidR="00C4592C" w:rsidRPr="00CB118F">
              <w:rPr>
                <w:rFonts w:asciiTheme="minorHAnsi" w:hAnsiTheme="minorHAnsi" w:cstheme="minorHAnsi"/>
                <w:sz w:val="22"/>
                <w:szCs w:val="22"/>
                <w:lang w:val="en-GB"/>
              </w:rPr>
              <w:t xml:space="preserve"> </w:t>
            </w:r>
            <w:r w:rsidRPr="00CB118F">
              <w:rPr>
                <w:rFonts w:asciiTheme="minorHAnsi" w:hAnsiTheme="minorHAnsi" w:cstheme="minorHAnsi"/>
                <w:sz w:val="22"/>
                <w:szCs w:val="22"/>
                <w:lang w:val="en-GB"/>
              </w:rPr>
              <w:t xml:space="preserve">All together </w:t>
            </w:r>
            <w:r w:rsidR="009F39DE" w:rsidRPr="00CB118F">
              <w:rPr>
                <w:rFonts w:asciiTheme="minorHAnsi" w:hAnsiTheme="minorHAnsi" w:cstheme="minorHAnsi"/>
                <w:sz w:val="22"/>
                <w:szCs w:val="22"/>
                <w:lang w:val="en-GB"/>
              </w:rPr>
              <w:t>11 (of 24) projects were considered, from which 8 were finished and 3 were missing the last projects progress report. The</w:t>
            </w:r>
            <w:r w:rsidRPr="00CB118F">
              <w:rPr>
                <w:rFonts w:asciiTheme="minorHAnsi" w:hAnsiTheme="minorHAnsi" w:cstheme="minorHAnsi"/>
                <w:sz w:val="22"/>
                <w:szCs w:val="22"/>
                <w:lang w:val="en-GB"/>
              </w:rPr>
              <w:t xml:space="preserve"> cut-off date for gathering the information</w:t>
            </w:r>
            <w:r w:rsidR="009F39DE" w:rsidRPr="00CB118F">
              <w:rPr>
                <w:rFonts w:asciiTheme="minorHAnsi" w:hAnsiTheme="minorHAnsi" w:cstheme="minorHAnsi"/>
                <w:sz w:val="22"/>
                <w:szCs w:val="22"/>
                <w:lang w:val="en-GB"/>
              </w:rPr>
              <w:t xml:space="preserve"> was 31 August 2021. </w:t>
            </w:r>
          </w:p>
        </w:tc>
      </w:tr>
    </w:tbl>
    <w:p w14:paraId="27333EE8" w14:textId="77777777" w:rsidR="00B65532" w:rsidRPr="00737DA5" w:rsidRDefault="00B65532" w:rsidP="00B65532">
      <w:pPr>
        <w:pStyle w:val="Default"/>
        <w:ind w:left="720"/>
        <w:rPr>
          <w:rFonts w:asciiTheme="minorHAnsi" w:hAnsiTheme="minorHAnsi" w:cstheme="minorHAnsi"/>
          <w:sz w:val="22"/>
          <w:szCs w:val="22"/>
          <w:lang w:val="en-GB"/>
        </w:rPr>
      </w:pPr>
    </w:p>
    <w:p w14:paraId="74012504" w14:textId="086D338B" w:rsidR="00B65532" w:rsidRPr="00737DA5" w:rsidRDefault="00B65532" w:rsidP="008F79EA">
      <w:pPr>
        <w:pStyle w:val="Default"/>
        <w:numPr>
          <w:ilvl w:val="0"/>
          <w:numId w:val="2"/>
        </w:numPr>
        <w:spacing w:after="160"/>
        <w:ind w:left="714" w:hanging="357"/>
        <w:rPr>
          <w:rFonts w:asciiTheme="minorHAnsi" w:hAnsiTheme="minorHAnsi" w:cstheme="minorHAnsi"/>
          <w:sz w:val="22"/>
          <w:szCs w:val="22"/>
          <w:lang w:val="en-GB"/>
        </w:rPr>
      </w:pPr>
      <w:r w:rsidRPr="00737DA5">
        <w:rPr>
          <w:rFonts w:asciiTheme="minorHAnsi" w:hAnsiTheme="minorHAnsi" w:cstheme="minorHAnsi"/>
          <w:sz w:val="22"/>
          <w:szCs w:val="22"/>
          <w:lang w:val="en-GB"/>
        </w:rPr>
        <w:t xml:space="preserve">Please specify why the proposed method and calculation based on Article </w:t>
      </w:r>
      <w:r w:rsidR="00E96459">
        <w:rPr>
          <w:rFonts w:asciiTheme="minorHAnsi" w:hAnsiTheme="minorHAnsi" w:cstheme="minorHAnsi"/>
          <w:sz w:val="22"/>
          <w:szCs w:val="22"/>
          <w:lang w:val="en-GB"/>
        </w:rPr>
        <w:t>94</w:t>
      </w:r>
      <w:r w:rsidRPr="00737DA5">
        <w:rPr>
          <w:rFonts w:asciiTheme="minorHAnsi" w:hAnsiTheme="minorHAnsi" w:cstheme="minorHAnsi"/>
          <w:sz w:val="22"/>
          <w:szCs w:val="22"/>
          <w:lang w:val="en-GB"/>
        </w:rPr>
        <w:t>(2) is relevant to the type of operation</w:t>
      </w:r>
      <w:r w:rsidR="00E96459">
        <w:rPr>
          <w:rFonts w:asciiTheme="minorHAnsi" w:hAnsiTheme="minorHAnsi" w:cstheme="minorHAnsi"/>
          <w:sz w:val="22"/>
          <w:szCs w:val="22"/>
          <w:lang w:val="en-GB"/>
        </w:rPr>
        <w:t>.</w:t>
      </w:r>
    </w:p>
    <w:tbl>
      <w:tblPr>
        <w:tblStyle w:val="Tabelamrea"/>
        <w:tblW w:w="0" w:type="auto"/>
        <w:tblInd w:w="-5" w:type="dxa"/>
        <w:tblLook w:val="04A0" w:firstRow="1" w:lastRow="0" w:firstColumn="1" w:lastColumn="0" w:noHBand="0" w:noVBand="1"/>
      </w:tblPr>
      <w:tblGrid>
        <w:gridCol w:w="13999"/>
      </w:tblGrid>
      <w:tr w:rsidR="008F79EA" w:rsidRPr="00737DA5" w14:paraId="5F91AA74" w14:textId="77777777" w:rsidTr="00C4592C">
        <w:tc>
          <w:tcPr>
            <w:tcW w:w="13999" w:type="dxa"/>
          </w:tcPr>
          <w:p w14:paraId="449FA12D" w14:textId="445C6B27" w:rsidR="002A71AB" w:rsidRDefault="002A71AB" w:rsidP="00557BF0">
            <w:pPr>
              <w:pStyle w:val="Default"/>
              <w:rPr>
                <w:rFonts w:asciiTheme="minorHAnsi" w:hAnsiTheme="minorHAnsi" w:cstheme="minorHAnsi"/>
                <w:sz w:val="22"/>
                <w:szCs w:val="22"/>
                <w:lang w:val="en-GB"/>
              </w:rPr>
            </w:pPr>
            <w:r>
              <w:rPr>
                <w:rFonts w:asciiTheme="minorHAnsi" w:hAnsiTheme="minorHAnsi" w:cstheme="minorHAnsi"/>
                <w:sz w:val="22"/>
                <w:szCs w:val="22"/>
                <w:lang w:val="en-GB"/>
              </w:rPr>
              <w:t>According to regulation the use of SCOs in projects below 200.000,00 EUR is compulsory.</w:t>
            </w:r>
          </w:p>
          <w:p w14:paraId="3C032BFA" w14:textId="4BE492B6" w:rsidR="00B0532B" w:rsidRDefault="00945016" w:rsidP="002A71AB">
            <w:pPr>
              <w:pStyle w:val="Default"/>
              <w:rPr>
                <w:rFonts w:asciiTheme="minorHAnsi" w:hAnsiTheme="minorHAnsi" w:cstheme="minorHAnsi"/>
                <w:sz w:val="22"/>
                <w:szCs w:val="22"/>
                <w:lang w:val="en-GB"/>
              </w:rPr>
            </w:pPr>
            <w:r w:rsidRPr="00737DA5">
              <w:rPr>
                <w:rFonts w:asciiTheme="minorHAnsi" w:hAnsiTheme="minorHAnsi" w:cstheme="minorHAnsi"/>
                <w:sz w:val="22"/>
                <w:szCs w:val="22"/>
                <w:lang w:val="en-GB"/>
              </w:rPr>
              <w:t>The proposed simplification</w:t>
            </w:r>
            <w:r w:rsidR="000B67EA" w:rsidRPr="00737DA5">
              <w:rPr>
                <w:rFonts w:asciiTheme="minorHAnsi" w:hAnsiTheme="minorHAnsi" w:cstheme="minorHAnsi"/>
                <w:sz w:val="22"/>
                <w:szCs w:val="22"/>
                <w:lang w:val="en-GB"/>
              </w:rPr>
              <w:t>s are needed, as they</w:t>
            </w:r>
            <w:r w:rsidRPr="00737DA5">
              <w:rPr>
                <w:rFonts w:asciiTheme="minorHAnsi" w:hAnsiTheme="minorHAnsi" w:cstheme="minorHAnsi"/>
                <w:sz w:val="22"/>
                <w:szCs w:val="22"/>
                <w:lang w:val="en-GB"/>
              </w:rPr>
              <w:t xml:space="preserve"> </w:t>
            </w:r>
            <w:r w:rsidR="00910354">
              <w:rPr>
                <w:rFonts w:asciiTheme="minorHAnsi" w:hAnsiTheme="minorHAnsi" w:cstheme="minorHAnsi"/>
                <w:sz w:val="22"/>
                <w:szCs w:val="22"/>
                <w:lang w:val="en-GB"/>
              </w:rPr>
              <w:t>are th</w:t>
            </w:r>
            <w:r w:rsidRPr="00737DA5">
              <w:rPr>
                <w:rFonts w:asciiTheme="minorHAnsi" w:hAnsiTheme="minorHAnsi" w:cstheme="minorHAnsi"/>
                <w:sz w:val="22"/>
                <w:szCs w:val="22"/>
                <w:lang w:val="en-GB"/>
              </w:rPr>
              <w:t xml:space="preserve">e introduction </w:t>
            </w:r>
            <w:r w:rsidR="00737DA5" w:rsidRPr="00737DA5">
              <w:rPr>
                <w:rFonts w:asciiTheme="minorHAnsi" w:hAnsiTheme="minorHAnsi" w:cstheme="minorHAnsi"/>
                <w:sz w:val="22"/>
                <w:szCs w:val="22"/>
                <w:lang w:val="en-GB"/>
              </w:rPr>
              <w:t>of</w:t>
            </w:r>
            <w:r w:rsidRPr="00737DA5">
              <w:rPr>
                <w:rFonts w:asciiTheme="minorHAnsi" w:hAnsiTheme="minorHAnsi" w:cstheme="minorHAnsi"/>
                <w:sz w:val="22"/>
                <w:szCs w:val="22"/>
                <w:lang w:val="en-GB"/>
              </w:rPr>
              <w:t xml:space="preserve"> SCO</w:t>
            </w:r>
            <w:r w:rsidR="000B67EA" w:rsidRPr="00737DA5">
              <w:rPr>
                <w:rFonts w:asciiTheme="minorHAnsi" w:hAnsiTheme="minorHAnsi" w:cstheme="minorHAnsi"/>
                <w:sz w:val="22"/>
                <w:szCs w:val="22"/>
                <w:lang w:val="en-GB"/>
              </w:rPr>
              <w:t>s</w:t>
            </w:r>
            <w:r w:rsidR="00910354">
              <w:rPr>
                <w:rFonts w:asciiTheme="minorHAnsi" w:hAnsiTheme="minorHAnsi" w:cstheme="minorHAnsi"/>
                <w:sz w:val="22"/>
                <w:szCs w:val="22"/>
                <w:lang w:val="en-GB"/>
              </w:rPr>
              <w:t xml:space="preserve"> to</w:t>
            </w:r>
            <w:r w:rsidRPr="00737DA5">
              <w:rPr>
                <w:rFonts w:asciiTheme="minorHAnsi" w:hAnsiTheme="minorHAnsi" w:cstheme="minorHAnsi"/>
                <w:sz w:val="22"/>
                <w:szCs w:val="22"/>
                <w:lang w:val="en-GB"/>
              </w:rPr>
              <w:t xml:space="preserve"> sm</w:t>
            </w:r>
            <w:r w:rsidR="009F0DC2">
              <w:rPr>
                <w:rFonts w:asciiTheme="minorHAnsi" w:hAnsiTheme="minorHAnsi" w:cstheme="minorHAnsi"/>
                <w:sz w:val="22"/>
                <w:szCs w:val="22"/>
                <w:lang w:val="en-GB"/>
              </w:rPr>
              <w:t>all</w:t>
            </w:r>
            <w:r w:rsidR="00910354">
              <w:rPr>
                <w:rFonts w:asciiTheme="minorHAnsi" w:hAnsiTheme="minorHAnsi" w:cstheme="minorHAnsi"/>
                <w:sz w:val="22"/>
                <w:szCs w:val="22"/>
                <w:lang w:val="en-GB"/>
              </w:rPr>
              <w:t>-scal</w:t>
            </w:r>
            <w:r w:rsidR="009F0DC2">
              <w:rPr>
                <w:rFonts w:asciiTheme="minorHAnsi" w:hAnsiTheme="minorHAnsi" w:cstheme="minorHAnsi"/>
                <w:sz w:val="22"/>
                <w:szCs w:val="22"/>
                <w:lang w:val="en-GB"/>
              </w:rPr>
              <w:t xml:space="preserve">e projects to </w:t>
            </w:r>
            <w:r w:rsidRPr="00737DA5">
              <w:rPr>
                <w:rFonts w:asciiTheme="minorHAnsi" w:hAnsiTheme="minorHAnsi" w:cstheme="minorHAnsi"/>
                <w:sz w:val="22"/>
                <w:szCs w:val="22"/>
                <w:lang w:val="en-GB"/>
              </w:rPr>
              <w:t>the program</w:t>
            </w:r>
            <w:r w:rsidR="00910354">
              <w:rPr>
                <w:rFonts w:asciiTheme="minorHAnsi" w:hAnsiTheme="minorHAnsi" w:cstheme="minorHAnsi"/>
                <w:sz w:val="22"/>
                <w:szCs w:val="22"/>
                <w:lang w:val="en-GB"/>
              </w:rPr>
              <w:t>me</w:t>
            </w:r>
            <w:r w:rsidRPr="00737DA5">
              <w:rPr>
                <w:rFonts w:asciiTheme="minorHAnsi" w:hAnsiTheme="minorHAnsi" w:cstheme="minorHAnsi"/>
                <w:sz w:val="22"/>
                <w:szCs w:val="22"/>
                <w:lang w:val="en-GB"/>
              </w:rPr>
              <w:t xml:space="preserve"> in the period 2021-2027.</w:t>
            </w:r>
            <w:r w:rsidR="000B67EA" w:rsidRPr="00737DA5">
              <w:rPr>
                <w:rFonts w:asciiTheme="minorHAnsi" w:hAnsiTheme="minorHAnsi" w:cstheme="minorHAnsi"/>
                <w:sz w:val="22"/>
                <w:szCs w:val="22"/>
                <w:lang w:val="en-GB"/>
              </w:rPr>
              <w:t xml:space="preserve"> </w:t>
            </w:r>
            <w:r w:rsidR="00C430B3">
              <w:rPr>
                <w:rFonts w:asciiTheme="minorHAnsi" w:hAnsiTheme="minorHAnsi" w:cstheme="minorHAnsi"/>
                <w:sz w:val="22"/>
                <w:szCs w:val="22"/>
                <w:lang w:val="en-GB"/>
              </w:rPr>
              <w:t>Only unit costs and lu</w:t>
            </w:r>
            <w:r w:rsidR="00187FFB">
              <w:rPr>
                <w:rFonts w:asciiTheme="minorHAnsi" w:hAnsiTheme="minorHAnsi" w:cstheme="minorHAnsi"/>
                <w:sz w:val="22"/>
                <w:szCs w:val="22"/>
                <w:lang w:val="en-GB"/>
              </w:rPr>
              <w:t>m</w:t>
            </w:r>
            <w:r w:rsidR="00C430B3">
              <w:rPr>
                <w:rFonts w:asciiTheme="minorHAnsi" w:hAnsiTheme="minorHAnsi" w:cstheme="minorHAnsi"/>
                <w:sz w:val="22"/>
                <w:szCs w:val="22"/>
                <w:lang w:val="en-GB"/>
              </w:rPr>
              <w:t>p sums are independent value; all ot</w:t>
            </w:r>
            <w:r w:rsidR="00B0532B">
              <w:rPr>
                <w:rFonts w:asciiTheme="minorHAnsi" w:hAnsiTheme="minorHAnsi" w:cstheme="minorHAnsi"/>
                <w:sz w:val="22"/>
                <w:szCs w:val="22"/>
                <w:lang w:val="en-GB"/>
              </w:rPr>
              <w:t>her are connected to real costs.</w:t>
            </w:r>
          </w:p>
          <w:p w14:paraId="7BD2C30C" w14:textId="6811A744" w:rsidR="002A71AB" w:rsidRPr="00737DA5" w:rsidRDefault="00945016" w:rsidP="002A71AB">
            <w:pPr>
              <w:pStyle w:val="Default"/>
              <w:rPr>
                <w:rFonts w:asciiTheme="minorHAnsi" w:hAnsiTheme="minorHAnsi" w:cstheme="minorHAnsi"/>
                <w:sz w:val="22"/>
                <w:szCs w:val="22"/>
                <w:lang w:val="en-GB"/>
              </w:rPr>
            </w:pPr>
            <w:r w:rsidRPr="00737DA5">
              <w:rPr>
                <w:rFonts w:asciiTheme="minorHAnsi" w:hAnsiTheme="minorHAnsi" w:cstheme="minorHAnsi"/>
                <w:sz w:val="22"/>
                <w:szCs w:val="22"/>
                <w:lang w:val="en-GB"/>
              </w:rPr>
              <w:t>Simplification mean a significant reduction in the administrative burden for both the beneficiaries and the control that carries out pre-payment administrative checks, as well as for all other bodies in the follow-up procedures.</w:t>
            </w:r>
            <w:r w:rsidR="000B67EA" w:rsidRPr="00737DA5">
              <w:rPr>
                <w:rFonts w:asciiTheme="minorHAnsi" w:hAnsiTheme="minorHAnsi" w:cstheme="minorHAnsi"/>
                <w:sz w:val="22"/>
                <w:szCs w:val="22"/>
                <w:lang w:val="en-GB"/>
              </w:rPr>
              <w:t xml:space="preserve"> </w:t>
            </w:r>
            <w:r w:rsidRPr="00737DA5">
              <w:rPr>
                <w:rFonts w:asciiTheme="minorHAnsi" w:hAnsiTheme="minorHAnsi" w:cstheme="minorHAnsi"/>
                <w:sz w:val="22"/>
                <w:szCs w:val="22"/>
                <w:lang w:val="en-GB"/>
              </w:rPr>
              <w:t>Obtaining evidence for claiming</w:t>
            </w:r>
            <w:r w:rsidR="000B67EA" w:rsidRPr="00737DA5">
              <w:rPr>
                <w:rFonts w:asciiTheme="minorHAnsi" w:hAnsiTheme="minorHAnsi" w:cstheme="minorHAnsi"/>
                <w:sz w:val="22"/>
                <w:szCs w:val="22"/>
                <w:lang w:val="en-GB"/>
              </w:rPr>
              <w:t xml:space="preserve"> actual costs by individual cost categories</w:t>
            </w:r>
            <w:r w:rsidRPr="00737DA5">
              <w:rPr>
                <w:rFonts w:asciiTheme="minorHAnsi" w:hAnsiTheme="minorHAnsi" w:cstheme="minorHAnsi"/>
                <w:sz w:val="22"/>
                <w:szCs w:val="22"/>
                <w:lang w:val="en-GB"/>
              </w:rPr>
              <w:t xml:space="preserve"> (staff costs, administr</w:t>
            </w:r>
            <w:r w:rsidR="000B67EA" w:rsidRPr="00737DA5">
              <w:rPr>
                <w:rFonts w:asciiTheme="minorHAnsi" w:hAnsiTheme="minorHAnsi" w:cstheme="minorHAnsi"/>
                <w:sz w:val="22"/>
                <w:szCs w:val="22"/>
                <w:lang w:val="en-GB"/>
              </w:rPr>
              <w:t xml:space="preserve">ative costs, travel and </w:t>
            </w:r>
            <w:r w:rsidR="00737DA5" w:rsidRPr="00737DA5">
              <w:rPr>
                <w:rFonts w:asciiTheme="minorHAnsi" w:hAnsiTheme="minorHAnsi" w:cstheme="minorHAnsi"/>
                <w:sz w:val="22"/>
                <w:szCs w:val="22"/>
                <w:lang w:val="en-GB"/>
              </w:rPr>
              <w:t>accommodation</w:t>
            </w:r>
            <w:r w:rsidRPr="00737DA5">
              <w:rPr>
                <w:rFonts w:asciiTheme="minorHAnsi" w:hAnsiTheme="minorHAnsi" w:cstheme="minorHAnsi"/>
                <w:sz w:val="22"/>
                <w:szCs w:val="22"/>
                <w:lang w:val="en-GB"/>
              </w:rPr>
              <w:t xml:space="preserve"> costs, </w:t>
            </w:r>
            <w:r w:rsidR="000B67EA" w:rsidRPr="00737DA5">
              <w:rPr>
                <w:rFonts w:asciiTheme="minorHAnsi" w:hAnsiTheme="minorHAnsi" w:cstheme="minorHAnsi"/>
                <w:sz w:val="22"/>
                <w:szCs w:val="22"/>
                <w:lang w:val="en-GB"/>
              </w:rPr>
              <w:t xml:space="preserve">external </w:t>
            </w:r>
            <w:r w:rsidR="00737DA5" w:rsidRPr="00737DA5">
              <w:rPr>
                <w:rFonts w:asciiTheme="minorHAnsi" w:hAnsiTheme="minorHAnsi" w:cstheme="minorHAnsi"/>
                <w:sz w:val="22"/>
                <w:szCs w:val="22"/>
                <w:lang w:val="en-GB"/>
              </w:rPr>
              <w:t>experts’</w:t>
            </w:r>
            <w:r w:rsidRPr="00737DA5">
              <w:rPr>
                <w:rFonts w:asciiTheme="minorHAnsi" w:hAnsiTheme="minorHAnsi" w:cstheme="minorHAnsi"/>
                <w:sz w:val="22"/>
                <w:szCs w:val="22"/>
                <w:lang w:val="en-GB"/>
              </w:rPr>
              <w:t xml:space="preserve"> costs, equipment costs) and their verification would be a disproportionate amount of wor</w:t>
            </w:r>
            <w:r w:rsidR="00756F02">
              <w:rPr>
                <w:rFonts w:asciiTheme="minorHAnsi" w:hAnsiTheme="minorHAnsi" w:cstheme="minorHAnsi"/>
                <w:sz w:val="22"/>
                <w:szCs w:val="22"/>
                <w:lang w:val="en-GB"/>
              </w:rPr>
              <w:t>k in the case of small</w:t>
            </w:r>
            <w:r w:rsidR="00910354">
              <w:rPr>
                <w:rFonts w:asciiTheme="minorHAnsi" w:hAnsiTheme="minorHAnsi" w:cstheme="minorHAnsi"/>
                <w:sz w:val="22"/>
                <w:szCs w:val="22"/>
                <w:lang w:val="en-GB"/>
              </w:rPr>
              <w:t>-scale</w:t>
            </w:r>
            <w:r w:rsidR="00756F02">
              <w:rPr>
                <w:rFonts w:asciiTheme="minorHAnsi" w:hAnsiTheme="minorHAnsi" w:cstheme="minorHAnsi"/>
                <w:sz w:val="22"/>
                <w:szCs w:val="22"/>
                <w:lang w:val="en-GB"/>
              </w:rPr>
              <w:t xml:space="preserve"> projects</w:t>
            </w:r>
            <w:r w:rsidRPr="00737DA5">
              <w:rPr>
                <w:rFonts w:asciiTheme="minorHAnsi" w:hAnsiTheme="minorHAnsi" w:cstheme="minorHAnsi"/>
                <w:sz w:val="22"/>
                <w:szCs w:val="22"/>
                <w:lang w:val="en-GB"/>
              </w:rPr>
              <w:t>.</w:t>
            </w:r>
            <w:r w:rsidR="00756F02">
              <w:rPr>
                <w:rFonts w:asciiTheme="minorHAnsi" w:hAnsiTheme="minorHAnsi" w:cstheme="minorHAnsi"/>
                <w:sz w:val="22"/>
                <w:szCs w:val="22"/>
                <w:lang w:val="en-GB"/>
              </w:rPr>
              <w:t xml:space="preserve"> At the same </w:t>
            </w:r>
            <w:r w:rsidR="00910354">
              <w:rPr>
                <w:rFonts w:asciiTheme="minorHAnsi" w:hAnsiTheme="minorHAnsi" w:cstheme="minorHAnsi"/>
                <w:sz w:val="22"/>
                <w:szCs w:val="22"/>
                <w:lang w:val="en-GB"/>
              </w:rPr>
              <w:t>time,</w:t>
            </w:r>
            <w:r w:rsidR="00756F02">
              <w:rPr>
                <w:rFonts w:asciiTheme="minorHAnsi" w:hAnsiTheme="minorHAnsi" w:cstheme="minorHAnsi"/>
                <w:sz w:val="22"/>
                <w:szCs w:val="22"/>
                <w:lang w:val="en-GB"/>
              </w:rPr>
              <w:t xml:space="preserve"> it would be time consuming and therefore</w:t>
            </w:r>
            <w:r w:rsidR="00910354">
              <w:rPr>
                <w:rFonts w:asciiTheme="minorHAnsi" w:hAnsiTheme="minorHAnsi" w:cstheme="minorHAnsi"/>
                <w:sz w:val="22"/>
                <w:szCs w:val="22"/>
                <w:lang w:val="en-GB"/>
              </w:rPr>
              <w:t xml:space="preserve"> prolongs the</w:t>
            </w:r>
            <w:r w:rsidR="00756F02">
              <w:rPr>
                <w:rFonts w:asciiTheme="minorHAnsi" w:hAnsiTheme="minorHAnsi" w:cstheme="minorHAnsi"/>
                <w:sz w:val="22"/>
                <w:szCs w:val="22"/>
                <w:lang w:val="en-GB"/>
              </w:rPr>
              <w:t xml:space="preserve"> time for the beneficiaries to get their reimbursements. Also </w:t>
            </w:r>
            <w:r w:rsidR="00AD4C43" w:rsidRPr="00737DA5">
              <w:rPr>
                <w:rFonts w:asciiTheme="minorHAnsi" w:hAnsiTheme="minorHAnsi" w:cstheme="minorHAnsi"/>
                <w:sz w:val="22"/>
                <w:szCs w:val="22"/>
                <w:lang w:val="en-GB"/>
              </w:rPr>
              <w:t>the potential for errors that could occur in transcribing and entering data if such costs were claimed on the basis of actual costs is reduced.</w:t>
            </w:r>
          </w:p>
        </w:tc>
      </w:tr>
    </w:tbl>
    <w:p w14:paraId="72451129" w14:textId="77777777" w:rsidR="00B65532" w:rsidRPr="00737DA5" w:rsidRDefault="00B65532" w:rsidP="008F79EA">
      <w:pPr>
        <w:pStyle w:val="Default"/>
        <w:ind w:left="720"/>
        <w:rPr>
          <w:rFonts w:asciiTheme="minorHAnsi" w:hAnsiTheme="minorHAnsi" w:cstheme="minorHAnsi"/>
          <w:sz w:val="22"/>
          <w:szCs w:val="22"/>
          <w:lang w:val="en-GB"/>
        </w:rPr>
      </w:pPr>
    </w:p>
    <w:p w14:paraId="5EB036BF" w14:textId="2D7B70CA" w:rsidR="00B65532" w:rsidRPr="00737DA5" w:rsidRDefault="00B65532" w:rsidP="008F79EA">
      <w:pPr>
        <w:pStyle w:val="Default"/>
        <w:numPr>
          <w:ilvl w:val="0"/>
          <w:numId w:val="2"/>
        </w:numPr>
        <w:spacing w:after="160"/>
        <w:ind w:left="714" w:hanging="357"/>
        <w:rPr>
          <w:rFonts w:asciiTheme="minorHAnsi" w:hAnsiTheme="minorHAnsi" w:cstheme="minorHAnsi"/>
          <w:sz w:val="22"/>
          <w:szCs w:val="22"/>
          <w:lang w:val="en-GB"/>
        </w:rPr>
      </w:pPr>
      <w:r w:rsidRPr="00737DA5">
        <w:rPr>
          <w:rFonts w:asciiTheme="minorHAnsi" w:hAnsiTheme="minorHAnsi" w:cstheme="minorHAnsi"/>
          <w:sz w:val="22"/>
          <w:szCs w:val="22"/>
          <w:lang w:val="en-GB"/>
        </w:rPr>
        <w:t>Please specify how the calculations were made, in particular including any assumptions made in terms of quality or quantities. Where relevant, statistical evidence and benchmarks should be used and, if requested, provided in a format that is usable by the Commission</w:t>
      </w:r>
      <w:r w:rsidR="00E96459">
        <w:rPr>
          <w:rFonts w:asciiTheme="minorHAnsi" w:hAnsiTheme="minorHAnsi" w:cstheme="minorHAnsi"/>
          <w:sz w:val="22"/>
          <w:szCs w:val="22"/>
          <w:lang w:val="en-GB"/>
        </w:rPr>
        <w:t>.</w:t>
      </w:r>
    </w:p>
    <w:tbl>
      <w:tblPr>
        <w:tblStyle w:val="Tabelamrea"/>
        <w:tblW w:w="0" w:type="auto"/>
        <w:tblInd w:w="-5" w:type="dxa"/>
        <w:tblLook w:val="04A0" w:firstRow="1" w:lastRow="0" w:firstColumn="1" w:lastColumn="0" w:noHBand="0" w:noVBand="1"/>
      </w:tblPr>
      <w:tblGrid>
        <w:gridCol w:w="13999"/>
      </w:tblGrid>
      <w:tr w:rsidR="008F79EA" w:rsidRPr="00737DA5" w14:paraId="5E21F534" w14:textId="77777777" w:rsidTr="00C4592C">
        <w:tc>
          <w:tcPr>
            <w:tcW w:w="13999" w:type="dxa"/>
          </w:tcPr>
          <w:p w14:paraId="606C5448" w14:textId="77777777" w:rsidR="00743815" w:rsidRPr="00667334" w:rsidRDefault="00743815" w:rsidP="00743815">
            <w:pPr>
              <w:jc w:val="both"/>
              <w:rPr>
                <w:b/>
                <w:lang w:val="en-GB"/>
              </w:rPr>
            </w:pPr>
            <w:r w:rsidRPr="00667334">
              <w:rPr>
                <w:b/>
                <w:lang w:val="en-GB"/>
              </w:rPr>
              <w:t>Methodology I</w:t>
            </w:r>
          </w:p>
          <w:p w14:paraId="36EA4A2A" w14:textId="77777777" w:rsidR="00743815" w:rsidRPr="00667334" w:rsidRDefault="00743815" w:rsidP="00743815">
            <w:pPr>
              <w:jc w:val="both"/>
              <w:rPr>
                <w:b/>
                <w:lang w:val="en-GB"/>
              </w:rPr>
            </w:pPr>
            <w:r w:rsidRPr="00667334">
              <w:rPr>
                <w:b/>
                <w:lang w:val="en-GB"/>
              </w:rPr>
              <w:t>Type I projects (Cooperation projects based on unit costs)</w:t>
            </w:r>
          </w:p>
          <w:p w14:paraId="552BF856" w14:textId="77777777" w:rsidR="00743815" w:rsidRPr="00667334" w:rsidRDefault="00743815" w:rsidP="00743815">
            <w:pPr>
              <w:jc w:val="both"/>
              <w:rPr>
                <w:lang w:val="en-GB"/>
              </w:rPr>
            </w:pPr>
          </w:p>
          <w:p w14:paraId="231B180B" w14:textId="397081D7" w:rsidR="00743815" w:rsidRPr="00667334" w:rsidRDefault="00E47A2A" w:rsidP="00E47A2A">
            <w:pPr>
              <w:jc w:val="both"/>
              <w:rPr>
                <w:rFonts w:cstheme="minorHAnsi"/>
                <w:lang w:val="en-GB"/>
              </w:rPr>
            </w:pPr>
            <w:r>
              <w:rPr>
                <w:rFonts w:cstheme="minorHAnsi"/>
                <w:lang w:val="en-GB"/>
              </w:rPr>
              <w:t xml:space="preserve">This type of events is intended for implementation of </w:t>
            </w:r>
            <w:r w:rsidRPr="00667334">
              <w:rPr>
                <w:rFonts w:cstheme="minorHAnsi"/>
                <w:lang w:val="en-GB"/>
              </w:rPr>
              <w:t>workshops, conferences, seminars, and trainings.</w:t>
            </w:r>
            <w:r>
              <w:rPr>
                <w:rFonts w:cstheme="minorHAnsi"/>
                <w:lang w:val="en-GB"/>
              </w:rPr>
              <w:t xml:space="preserve"> </w:t>
            </w:r>
            <w:r>
              <w:rPr>
                <w:lang w:val="en-GB"/>
              </w:rPr>
              <w:t>For the calculation of the</w:t>
            </w:r>
            <w:r w:rsidR="00743815" w:rsidRPr="00667334">
              <w:rPr>
                <w:lang w:val="en-GB"/>
              </w:rPr>
              <w:t xml:space="preserve"> amount per unit of measurement (unit cost per participant) </w:t>
            </w:r>
            <w:r>
              <w:rPr>
                <w:lang w:val="en-GB"/>
              </w:rPr>
              <w:t>a</w:t>
            </w:r>
            <w:r w:rsidR="00743815" w:rsidRPr="00667334">
              <w:rPr>
                <w:rFonts w:cstheme="minorHAnsi"/>
                <w:lang w:val="en-GB"/>
              </w:rPr>
              <w:t>t least two events (</w:t>
            </w:r>
            <w:r w:rsidR="002A71AB">
              <w:rPr>
                <w:rFonts w:cstheme="minorHAnsi"/>
                <w:lang w:val="en-GB"/>
              </w:rPr>
              <w:t xml:space="preserve">each </w:t>
            </w:r>
            <w:r w:rsidR="00743815" w:rsidRPr="00667334">
              <w:rPr>
                <w:rFonts w:cstheme="minorHAnsi"/>
                <w:lang w:val="en-GB"/>
              </w:rPr>
              <w:t xml:space="preserve">min 4 hrs long) per project (at least one per member state) and minimum of 25 participants per event </w:t>
            </w:r>
            <w:r w:rsidR="00187FFB">
              <w:rPr>
                <w:rFonts w:cstheme="minorHAnsi"/>
                <w:lang w:val="en-GB"/>
              </w:rPr>
              <w:t xml:space="preserve">representing both MS </w:t>
            </w:r>
            <w:r w:rsidR="00743815" w:rsidRPr="00667334">
              <w:rPr>
                <w:rFonts w:cstheme="minorHAnsi"/>
                <w:lang w:val="en-GB"/>
              </w:rPr>
              <w:t xml:space="preserve">are required. </w:t>
            </w:r>
          </w:p>
          <w:p w14:paraId="61762F24" w14:textId="77777777" w:rsidR="00743815" w:rsidRPr="00667334" w:rsidRDefault="00743815" w:rsidP="00743815">
            <w:pPr>
              <w:jc w:val="both"/>
              <w:rPr>
                <w:rFonts w:cstheme="minorHAnsi"/>
                <w:lang w:val="en-GB"/>
              </w:rPr>
            </w:pPr>
          </w:p>
          <w:p w14:paraId="0DFB6D6B" w14:textId="504D8715" w:rsidR="00743815" w:rsidRDefault="00743815" w:rsidP="00743815">
            <w:pPr>
              <w:pStyle w:val="Default"/>
              <w:numPr>
                <w:ilvl w:val="0"/>
                <w:numId w:val="7"/>
              </w:numPr>
              <w:jc w:val="both"/>
              <w:rPr>
                <w:rFonts w:asciiTheme="minorHAnsi" w:hAnsiTheme="minorHAnsi" w:cstheme="minorHAnsi"/>
                <w:color w:val="auto"/>
                <w:sz w:val="22"/>
                <w:szCs w:val="22"/>
                <w:lang w:val="en-GB"/>
              </w:rPr>
            </w:pPr>
            <w:r w:rsidRPr="00667334">
              <w:rPr>
                <w:rFonts w:asciiTheme="minorHAnsi" w:hAnsiTheme="minorHAnsi" w:cstheme="minorHAnsi"/>
                <w:color w:val="auto"/>
                <w:sz w:val="22"/>
                <w:szCs w:val="22"/>
                <w:lang w:val="en-GB"/>
              </w:rPr>
              <w:t>The preparation costs were already in use in the current programming period as a lump sum</w:t>
            </w:r>
            <w:r w:rsidR="002A71AB">
              <w:rPr>
                <w:rFonts w:asciiTheme="minorHAnsi" w:hAnsiTheme="minorHAnsi" w:cstheme="minorHAnsi"/>
                <w:color w:val="auto"/>
                <w:sz w:val="22"/>
                <w:szCs w:val="22"/>
                <w:lang w:val="en-GB"/>
              </w:rPr>
              <w:t xml:space="preserve"> in regular-size projects</w:t>
            </w:r>
            <w:r w:rsidRPr="00667334">
              <w:rPr>
                <w:rFonts w:asciiTheme="minorHAnsi" w:hAnsiTheme="minorHAnsi" w:cstheme="minorHAnsi"/>
                <w:color w:val="auto"/>
                <w:sz w:val="22"/>
                <w:szCs w:val="22"/>
                <w:lang w:val="en-GB"/>
              </w:rPr>
              <w:t xml:space="preserve"> in the amount of 2,000.00 EUR. The preparation costs lump sum covers all expenditure needed for the preparation of the project until the date of submission of a project to the programme. The amount from the current period</w:t>
            </w:r>
            <w:r w:rsidR="00661842">
              <w:rPr>
                <w:rFonts w:asciiTheme="minorHAnsi" w:hAnsiTheme="minorHAnsi" w:cstheme="minorHAnsi"/>
                <w:color w:val="auto"/>
                <w:sz w:val="22"/>
                <w:szCs w:val="22"/>
                <w:lang w:val="en-GB"/>
              </w:rPr>
              <w:t xml:space="preserve"> (2014-2020)</w:t>
            </w:r>
            <w:r w:rsidRPr="00667334">
              <w:rPr>
                <w:rFonts w:asciiTheme="minorHAnsi" w:hAnsiTheme="minorHAnsi" w:cstheme="minorHAnsi"/>
                <w:color w:val="auto"/>
                <w:sz w:val="22"/>
                <w:szCs w:val="22"/>
                <w:lang w:val="en-GB"/>
              </w:rPr>
              <w:t xml:space="preserve"> was reduced to 500.00 EUR for small</w:t>
            </w:r>
            <w:r w:rsidR="006A3D51">
              <w:rPr>
                <w:rFonts w:asciiTheme="minorHAnsi" w:hAnsiTheme="minorHAnsi" w:cstheme="minorHAnsi"/>
                <w:color w:val="auto"/>
                <w:sz w:val="22"/>
                <w:szCs w:val="22"/>
                <w:lang w:val="en-GB"/>
              </w:rPr>
              <w:t>-scale</w:t>
            </w:r>
            <w:r w:rsidRPr="00667334">
              <w:rPr>
                <w:rFonts w:asciiTheme="minorHAnsi" w:hAnsiTheme="minorHAnsi" w:cstheme="minorHAnsi"/>
                <w:color w:val="auto"/>
                <w:sz w:val="22"/>
                <w:szCs w:val="22"/>
                <w:lang w:val="en-GB"/>
              </w:rPr>
              <w:t xml:space="preserve"> projects in the period 2021-2027. It is estimated that the amount is sufficient, as these are simpler projects of lower value.</w:t>
            </w:r>
            <w:r>
              <w:rPr>
                <w:rFonts w:asciiTheme="minorHAnsi" w:hAnsiTheme="minorHAnsi" w:cstheme="minorHAnsi"/>
                <w:color w:val="auto"/>
                <w:sz w:val="22"/>
                <w:szCs w:val="22"/>
                <w:lang w:val="en-GB"/>
              </w:rPr>
              <w:t xml:space="preserve"> </w:t>
            </w:r>
            <w:r w:rsidRPr="000F6135">
              <w:rPr>
                <w:rFonts w:asciiTheme="minorHAnsi" w:hAnsiTheme="minorHAnsi" w:cstheme="minorHAnsi"/>
                <w:color w:val="auto"/>
                <w:sz w:val="22"/>
                <w:szCs w:val="22"/>
                <w:lang w:val="en-GB"/>
              </w:rPr>
              <w:t xml:space="preserve">All projects when submitting a project proposal have generated costs for the preparation of the proposal, independent from the question whether they can be claimed or not. We can safely identify the following costs: staff costs (writing the application, communicating &amp; working with potential partners), linked administration costs, travel costs and costs for meetings to discuss content and meeting partners, translation costs for necessary documents and </w:t>
            </w:r>
            <w:r>
              <w:rPr>
                <w:rFonts w:asciiTheme="minorHAnsi" w:hAnsiTheme="minorHAnsi" w:cstheme="minorHAnsi"/>
                <w:color w:val="auto"/>
                <w:sz w:val="22"/>
                <w:szCs w:val="22"/>
                <w:lang w:val="en-GB"/>
              </w:rPr>
              <w:t xml:space="preserve">in some cases </w:t>
            </w:r>
            <w:r w:rsidRPr="000F6135">
              <w:rPr>
                <w:rFonts w:asciiTheme="minorHAnsi" w:hAnsiTheme="minorHAnsi" w:cstheme="minorHAnsi"/>
                <w:color w:val="auto"/>
                <w:sz w:val="22"/>
                <w:szCs w:val="22"/>
                <w:lang w:val="en-GB"/>
              </w:rPr>
              <w:t>external service providers (some projects hire consultants to help with the application, which then reduces the direct involvement of staff),</w:t>
            </w:r>
            <w:r>
              <w:rPr>
                <w:rFonts w:asciiTheme="minorHAnsi" w:hAnsiTheme="minorHAnsi" w:cstheme="minorHAnsi"/>
                <w:color w:val="auto"/>
                <w:sz w:val="22"/>
                <w:szCs w:val="22"/>
                <w:lang w:val="en-GB"/>
              </w:rPr>
              <w:t xml:space="preserve"> and</w:t>
            </w:r>
            <w:r w:rsidRPr="000F6135">
              <w:rPr>
                <w:rFonts w:asciiTheme="minorHAnsi" w:hAnsiTheme="minorHAnsi" w:cstheme="minorHAnsi"/>
                <w:color w:val="auto"/>
                <w:sz w:val="22"/>
                <w:szCs w:val="22"/>
                <w:lang w:val="en-GB"/>
              </w:rPr>
              <w:t xml:space="preserve"> equipment (IT for writing the application).</w:t>
            </w:r>
          </w:p>
          <w:p w14:paraId="64C0EE9A" w14:textId="77777777" w:rsidR="006C282C" w:rsidRPr="00667334" w:rsidRDefault="006C282C" w:rsidP="006C282C">
            <w:pPr>
              <w:pStyle w:val="Default"/>
              <w:ind w:left="360"/>
              <w:jc w:val="both"/>
              <w:rPr>
                <w:rFonts w:asciiTheme="minorHAnsi" w:hAnsiTheme="minorHAnsi" w:cstheme="minorHAnsi"/>
                <w:color w:val="auto"/>
                <w:sz w:val="22"/>
                <w:szCs w:val="22"/>
                <w:lang w:val="en-GB"/>
              </w:rPr>
            </w:pPr>
          </w:p>
          <w:p w14:paraId="63EC8879" w14:textId="4251CD9D" w:rsidR="00743815" w:rsidRDefault="00743815" w:rsidP="00E47A2A">
            <w:pPr>
              <w:jc w:val="both"/>
              <w:rPr>
                <w:lang w:val="en-GB"/>
              </w:rPr>
            </w:pPr>
            <w:r w:rsidRPr="00667334">
              <w:rPr>
                <w:rFonts w:cstheme="minorHAnsi"/>
                <w:b/>
                <w:u w:val="single"/>
                <w:lang w:val="en-GB"/>
              </w:rPr>
              <w:t>Preparation costs</w:t>
            </w:r>
            <w:r w:rsidR="006C282C">
              <w:rPr>
                <w:rFonts w:cstheme="minorHAnsi"/>
                <w:lang w:val="en-GB"/>
              </w:rPr>
              <w:t xml:space="preserve"> are</w:t>
            </w:r>
            <w:r w:rsidRPr="00667334">
              <w:rPr>
                <w:rFonts w:cstheme="minorHAnsi"/>
                <w:lang w:val="en-GB"/>
              </w:rPr>
              <w:t xml:space="preserve"> estimated to </w:t>
            </w:r>
            <w:r w:rsidRPr="00667334">
              <w:rPr>
                <w:rFonts w:cstheme="minorHAnsi"/>
                <w:b/>
                <w:u w:val="single"/>
                <w:lang w:val="en-GB"/>
              </w:rPr>
              <w:t>500,00 EUR</w:t>
            </w:r>
            <w:r w:rsidR="006C282C">
              <w:rPr>
                <w:rFonts w:cstheme="minorHAnsi"/>
                <w:lang w:val="en-GB"/>
              </w:rPr>
              <w:t>.</w:t>
            </w:r>
            <w:r w:rsidRPr="00667334">
              <w:rPr>
                <w:rFonts w:cstheme="minorHAnsi"/>
                <w:lang w:val="en-GB"/>
              </w:rPr>
              <w:t xml:space="preserve"> </w:t>
            </w:r>
            <w:r w:rsidR="006C282C">
              <w:rPr>
                <w:rFonts w:cstheme="minorHAnsi"/>
                <w:lang w:val="en-GB"/>
              </w:rPr>
              <w:t>They</w:t>
            </w:r>
            <w:r w:rsidRPr="00667334">
              <w:rPr>
                <w:rFonts w:cstheme="minorHAnsi"/>
                <w:lang w:val="en-GB"/>
              </w:rPr>
              <w:t xml:space="preserve"> include</w:t>
            </w:r>
            <w:r w:rsidR="00E47A2A">
              <w:rPr>
                <w:rFonts w:cstheme="minorHAnsi"/>
                <w:lang w:val="en-GB"/>
              </w:rPr>
              <w:t xml:space="preserve"> </w:t>
            </w:r>
            <w:r w:rsidRPr="00667334">
              <w:rPr>
                <w:lang w:val="en-GB"/>
              </w:rPr>
              <w:t>at least 2 meetings</w:t>
            </w:r>
            <w:r w:rsidR="00E47A2A">
              <w:rPr>
                <w:lang w:val="en-GB"/>
              </w:rPr>
              <w:t xml:space="preserve">, </w:t>
            </w:r>
            <w:r w:rsidRPr="00667334">
              <w:rPr>
                <w:lang w:val="en-GB"/>
              </w:rPr>
              <w:t>staff</w:t>
            </w:r>
            <w:r w:rsidR="00E47A2A">
              <w:rPr>
                <w:lang w:val="en-GB"/>
              </w:rPr>
              <w:t xml:space="preserve"> costs, </w:t>
            </w:r>
            <w:r w:rsidR="002C0A1A">
              <w:rPr>
                <w:lang w:val="en-GB"/>
              </w:rPr>
              <w:t xml:space="preserve">and </w:t>
            </w:r>
            <w:r w:rsidR="00E47A2A">
              <w:rPr>
                <w:lang w:val="en-GB"/>
              </w:rPr>
              <w:t>administration costs.</w:t>
            </w:r>
          </w:p>
          <w:p w14:paraId="0A489CAA" w14:textId="77777777" w:rsidR="006C282C" w:rsidRPr="00667334" w:rsidRDefault="006C282C" w:rsidP="00E47A2A">
            <w:pPr>
              <w:jc w:val="both"/>
              <w:rPr>
                <w:lang w:val="en-GB"/>
              </w:rPr>
            </w:pPr>
          </w:p>
          <w:p w14:paraId="12856317" w14:textId="6F5C51E3" w:rsidR="00E47A2A" w:rsidRDefault="00743815" w:rsidP="00743815">
            <w:pPr>
              <w:jc w:val="both"/>
              <w:rPr>
                <w:rFonts w:eastAsiaTheme="minorEastAsia"/>
                <w:lang w:val="en-GB"/>
              </w:rPr>
            </w:pPr>
            <w:r w:rsidRPr="00667334">
              <w:rPr>
                <w:rFonts w:eastAsiaTheme="minorEastAsia"/>
                <w:lang w:val="en-GB"/>
              </w:rPr>
              <w:t>With average monthly gross earnings in August (according to Statistical office of Republic of Slovenia) being 1.900,43 EUR</w:t>
            </w:r>
            <w:r w:rsidR="006C282C">
              <w:rPr>
                <w:rFonts w:eastAsiaTheme="minorEastAsia"/>
                <w:lang w:val="en-GB"/>
              </w:rPr>
              <w:t>, and the assumption that 2 people had 2 full-day meetings,</w:t>
            </w:r>
            <w:r w:rsidR="00E47A2A">
              <w:rPr>
                <w:rFonts w:eastAsiaTheme="minorEastAsia"/>
                <w:lang w:val="en-GB"/>
              </w:rPr>
              <w:t xml:space="preserve"> the staff costs amount about 375</w:t>
            </w:r>
            <w:r w:rsidR="002C0A1A">
              <w:rPr>
                <w:rFonts w:eastAsiaTheme="minorEastAsia"/>
                <w:lang w:val="en-GB"/>
              </w:rPr>
              <w:t>,00</w:t>
            </w:r>
            <w:r w:rsidR="00E47A2A">
              <w:rPr>
                <w:rFonts w:eastAsiaTheme="minorEastAsia"/>
                <w:lang w:val="en-GB"/>
              </w:rPr>
              <w:t xml:space="preserve"> EUR; 15% are used for administrative costs and remaining </w:t>
            </w:r>
            <w:r w:rsidR="002C0A1A">
              <w:rPr>
                <w:rFonts w:eastAsiaTheme="minorEastAsia"/>
                <w:lang w:val="en-GB"/>
              </w:rPr>
              <w:t>68,75 EUR covers traveling costs.</w:t>
            </w:r>
            <w:r w:rsidR="00E47A2A">
              <w:rPr>
                <w:rFonts w:eastAsiaTheme="minorEastAsia"/>
                <w:lang w:val="en-GB"/>
              </w:rPr>
              <w:t xml:space="preserve"> </w:t>
            </w:r>
          </w:p>
          <w:p w14:paraId="44ED33A4" w14:textId="77777777" w:rsidR="00743815" w:rsidRPr="00667334" w:rsidRDefault="00743815" w:rsidP="00743815">
            <w:pPr>
              <w:pStyle w:val="Odstavekseznama"/>
              <w:ind w:left="360"/>
              <w:jc w:val="both"/>
              <w:rPr>
                <w:rFonts w:cstheme="minorHAnsi"/>
                <w:lang w:val="en-GB"/>
              </w:rPr>
            </w:pPr>
          </w:p>
          <w:p w14:paraId="5AE2FC0F" w14:textId="1EC8441A" w:rsidR="00743815" w:rsidRPr="00667334" w:rsidRDefault="00743815" w:rsidP="00743815">
            <w:pPr>
              <w:pStyle w:val="Odstavekseznama"/>
              <w:numPr>
                <w:ilvl w:val="0"/>
                <w:numId w:val="7"/>
              </w:numPr>
              <w:jc w:val="both"/>
              <w:rPr>
                <w:rFonts w:cstheme="minorHAnsi"/>
                <w:lang w:val="en-GB"/>
              </w:rPr>
            </w:pPr>
            <w:r w:rsidRPr="002C0A1A">
              <w:rPr>
                <w:rFonts w:cstheme="minorHAnsi"/>
                <w:i/>
                <w:u w:val="single"/>
                <w:lang w:val="en-GB"/>
              </w:rPr>
              <w:t>Unit costs</w:t>
            </w:r>
            <w:r w:rsidRPr="002C0A1A">
              <w:rPr>
                <w:rFonts w:cstheme="minorHAnsi"/>
                <w:i/>
                <w:u w:val="single"/>
                <w:vertAlign w:val="superscript"/>
                <w:lang w:val="en-GB"/>
              </w:rPr>
              <w:t>*</w:t>
            </w:r>
            <w:r w:rsidRPr="002C0A1A">
              <w:rPr>
                <w:rFonts w:cstheme="minorHAnsi"/>
                <w:u w:val="single"/>
                <w:lang w:val="en-GB"/>
              </w:rPr>
              <w:t xml:space="preserve"> for events per participant per event covering</w:t>
            </w:r>
            <w:r w:rsidRPr="00667334">
              <w:rPr>
                <w:rFonts w:cstheme="minorHAnsi"/>
                <w:u w:val="single"/>
                <w:lang w:val="en-GB"/>
              </w:rPr>
              <w:t xml:space="preserve"> moderation, venue </w:t>
            </w:r>
            <w:r w:rsidRPr="00667334">
              <w:rPr>
                <w:u w:val="single"/>
                <w:lang w:val="en-GB"/>
              </w:rPr>
              <w:t>(room, equipment</w:t>
            </w:r>
            <w:r w:rsidRPr="002C0A1A">
              <w:rPr>
                <w:u w:val="single"/>
                <w:lang w:val="en-GB"/>
              </w:rPr>
              <w:t xml:space="preserve">), </w:t>
            </w:r>
            <w:r w:rsidRPr="002C0A1A">
              <w:rPr>
                <w:rFonts w:cstheme="minorHAnsi"/>
                <w:u w:val="single"/>
                <w:lang w:val="en-GB"/>
              </w:rPr>
              <w:t>and</w:t>
            </w:r>
            <w:r w:rsidRPr="00667334">
              <w:rPr>
                <w:rFonts w:cstheme="minorHAnsi"/>
                <w:u w:val="single"/>
                <w:lang w:val="en-GB"/>
              </w:rPr>
              <w:t xml:space="preserve"> catering</w:t>
            </w:r>
            <w:r w:rsidRPr="00667334">
              <w:rPr>
                <w:rFonts w:cstheme="minorHAnsi"/>
                <w:lang w:val="en-GB"/>
              </w:rPr>
              <w:t xml:space="preserve"> were set in the following way:</w:t>
            </w:r>
          </w:p>
          <w:p w14:paraId="50ECB15A" w14:textId="33D900B6" w:rsidR="00743815" w:rsidRPr="00667334" w:rsidRDefault="00743815" w:rsidP="00743815">
            <w:pPr>
              <w:jc w:val="both"/>
              <w:rPr>
                <w:rFonts w:cstheme="minorHAnsi"/>
                <w:lang w:val="en-GB"/>
              </w:rPr>
            </w:pPr>
            <w:r w:rsidRPr="00667334">
              <w:rPr>
                <w:rFonts w:cstheme="minorHAnsi"/>
                <w:lang w:val="en-GB"/>
              </w:rPr>
              <w:t>The data considering all events were gathered (see Chapter C, point 1</w:t>
            </w:r>
            <w:r w:rsidR="002C0A1A">
              <w:rPr>
                <w:rFonts w:cstheme="minorHAnsi"/>
                <w:lang w:val="en-GB"/>
              </w:rPr>
              <w:t xml:space="preserve"> of this document</w:t>
            </w:r>
            <w:r w:rsidRPr="00667334">
              <w:rPr>
                <w:rFonts w:cstheme="minorHAnsi"/>
                <w:lang w:val="en-GB"/>
              </w:rPr>
              <w:t>). After collecting them, they were checked and all incomplete data were excluded (with missing no. of participants, only translation costs reported</w:t>
            </w:r>
            <w:r w:rsidR="006C282C" w:rsidRPr="00667334">
              <w:rPr>
                <w:rFonts w:cstheme="minorHAnsi"/>
                <w:lang w:val="en-GB"/>
              </w:rPr>
              <w:t>). Finally</w:t>
            </w:r>
            <w:r w:rsidRPr="00667334">
              <w:rPr>
                <w:rFonts w:cstheme="minorHAnsi"/>
                <w:lang w:val="en-GB"/>
              </w:rPr>
              <w:t>, the “</w:t>
            </w:r>
            <w:proofErr w:type="spellStart"/>
            <w:r w:rsidRPr="00667334">
              <w:rPr>
                <w:rFonts w:cstheme="minorHAnsi"/>
                <w:lang w:val="en-GB"/>
              </w:rPr>
              <w:t>non representative</w:t>
            </w:r>
            <w:proofErr w:type="spellEnd"/>
            <w:r w:rsidRPr="00667334">
              <w:rPr>
                <w:rFonts w:cstheme="minorHAnsi"/>
                <w:lang w:val="en-GB"/>
              </w:rPr>
              <w:t xml:space="preserve">” events were omitted from the clean data set due to their specificity (study tours, excursions and trips, presentations at fairs which were not organized by beneficiaries, </w:t>
            </w:r>
            <w:r w:rsidR="006C282C">
              <w:rPr>
                <w:rFonts w:cstheme="minorHAnsi"/>
                <w:lang w:val="en-GB"/>
              </w:rPr>
              <w:t xml:space="preserve">certain specific </w:t>
            </w:r>
            <w:r w:rsidRPr="00667334">
              <w:rPr>
                <w:rFonts w:cstheme="minorHAnsi"/>
                <w:lang w:val="en-GB"/>
              </w:rPr>
              <w:t>thematic events, meetings, and other not specified events</w:t>
            </w:r>
            <w:r w:rsidR="002C0A1A">
              <w:rPr>
                <w:rFonts w:cstheme="minorHAnsi"/>
                <w:lang w:val="en-GB"/>
              </w:rPr>
              <w:t>, reported events without costs reported</w:t>
            </w:r>
            <w:r w:rsidRPr="00667334">
              <w:rPr>
                <w:rFonts w:cstheme="minorHAnsi"/>
                <w:lang w:val="en-GB"/>
              </w:rPr>
              <w:t>). As representative events workshops,</w:t>
            </w:r>
            <w:r w:rsidR="006C282C">
              <w:rPr>
                <w:rFonts w:cstheme="minorHAnsi"/>
                <w:lang w:val="en-GB"/>
              </w:rPr>
              <w:t xml:space="preserve"> </w:t>
            </w:r>
            <w:r w:rsidRPr="00667334">
              <w:rPr>
                <w:rFonts w:cstheme="minorHAnsi"/>
                <w:lang w:val="en-GB"/>
              </w:rPr>
              <w:t>conferences, and trainings were observed.</w:t>
            </w:r>
          </w:p>
          <w:p w14:paraId="235CA4BC" w14:textId="693D1CE7" w:rsidR="00743815" w:rsidRPr="00667334" w:rsidRDefault="00743815" w:rsidP="00743815">
            <w:pPr>
              <w:jc w:val="both"/>
              <w:rPr>
                <w:rFonts w:cstheme="minorHAnsi"/>
                <w:lang w:val="en-GB"/>
              </w:rPr>
            </w:pPr>
            <w:r w:rsidRPr="00667334">
              <w:rPr>
                <w:rFonts w:cstheme="minorHAnsi"/>
                <w:lang w:val="en-GB"/>
              </w:rPr>
              <w:t xml:space="preserve">The events were calculated to one-day unit and for all types of events average and median unit cost value were set. The calculated value was expressing the costs </w:t>
            </w:r>
            <w:r w:rsidR="008965AF">
              <w:rPr>
                <w:rFonts w:cstheme="minorHAnsi"/>
                <w:lang w:val="en-GB"/>
              </w:rPr>
              <w:t>for</w:t>
            </w:r>
            <w:r w:rsidR="008965AF" w:rsidRPr="00667334">
              <w:rPr>
                <w:rFonts w:cstheme="minorHAnsi"/>
                <w:lang w:val="en-GB"/>
              </w:rPr>
              <w:t xml:space="preserve"> </w:t>
            </w:r>
            <w:r w:rsidRPr="00667334">
              <w:rPr>
                <w:rFonts w:cstheme="minorHAnsi"/>
                <w:lang w:val="en-GB"/>
              </w:rPr>
              <w:t xml:space="preserve">one participant </w:t>
            </w:r>
            <w:r w:rsidR="002C0A1A" w:rsidRPr="00667334">
              <w:rPr>
                <w:rFonts w:cstheme="minorHAnsi"/>
                <w:lang w:val="en-GB"/>
              </w:rPr>
              <w:t xml:space="preserve">per day </w:t>
            </w:r>
            <w:r w:rsidRPr="00667334">
              <w:rPr>
                <w:rFonts w:cstheme="minorHAnsi"/>
                <w:lang w:val="en-GB"/>
              </w:rPr>
              <w:t>per event.</w:t>
            </w:r>
          </w:p>
          <w:p w14:paraId="34288E60" w14:textId="77777777" w:rsidR="00743815" w:rsidRPr="00667334" w:rsidRDefault="00743815" w:rsidP="00743815">
            <w:pPr>
              <w:jc w:val="both"/>
              <w:rPr>
                <w:rFonts w:cstheme="minorHAnsi"/>
                <w:lang w:val="en-GB"/>
              </w:rPr>
            </w:pPr>
            <w:r w:rsidRPr="00667334">
              <w:rPr>
                <w:rFonts w:cstheme="minorHAnsi"/>
                <w:lang w:val="en-GB"/>
              </w:rPr>
              <w:t>The calculated average and median values for 1 participant at a 1-day workshop are rounded to 31,00 and 30,00 EUR, respectively.</w:t>
            </w:r>
          </w:p>
          <w:p w14:paraId="12EAB6B2" w14:textId="77777777" w:rsidR="00743815" w:rsidRPr="00667334" w:rsidRDefault="00743815" w:rsidP="00743815">
            <w:pPr>
              <w:jc w:val="both"/>
              <w:rPr>
                <w:rFonts w:cstheme="minorHAnsi"/>
                <w:lang w:val="en-GB"/>
              </w:rPr>
            </w:pPr>
            <w:r w:rsidRPr="00667334">
              <w:rPr>
                <w:rFonts w:cstheme="minorHAnsi"/>
                <w:lang w:val="en-GB"/>
              </w:rPr>
              <w:t>The calculated average and median values for 1 participant at a 1-day conference are rounded to 34,00 and 27,00 EUR, respectively.</w:t>
            </w:r>
          </w:p>
          <w:p w14:paraId="516F7885" w14:textId="77777777" w:rsidR="00743815" w:rsidRDefault="00743815" w:rsidP="00743815">
            <w:pPr>
              <w:jc w:val="both"/>
              <w:rPr>
                <w:rFonts w:cstheme="minorHAnsi"/>
                <w:lang w:val="en-GB"/>
              </w:rPr>
            </w:pPr>
            <w:r w:rsidRPr="00667334">
              <w:rPr>
                <w:rFonts w:cstheme="minorHAnsi"/>
                <w:lang w:val="en-GB"/>
              </w:rPr>
              <w:t>The calculated average and median values for 1 participant at a 1-day training are rounded to 55,00 and 59,00 EUR, respectively.</w:t>
            </w:r>
          </w:p>
          <w:p w14:paraId="3C6F6673" w14:textId="0135079D" w:rsidR="00743815" w:rsidRDefault="00743815" w:rsidP="00743815">
            <w:pPr>
              <w:jc w:val="both"/>
              <w:rPr>
                <w:rFonts w:cstheme="minorHAnsi"/>
                <w:lang w:val="en-GB"/>
              </w:rPr>
            </w:pPr>
            <w:r>
              <w:rPr>
                <w:rFonts w:cstheme="minorHAnsi"/>
                <w:lang w:val="en-GB"/>
              </w:rPr>
              <w:t>U</w:t>
            </w:r>
            <w:r w:rsidRPr="0037442A">
              <w:rPr>
                <w:rFonts w:cstheme="minorHAnsi"/>
                <w:lang w:val="en-GB"/>
              </w:rPr>
              <w:t>se</w:t>
            </w:r>
            <w:r>
              <w:rPr>
                <w:rFonts w:cstheme="minorHAnsi"/>
                <w:lang w:val="en-GB"/>
              </w:rPr>
              <w:t xml:space="preserve"> of</w:t>
            </w:r>
            <w:r w:rsidRPr="0037442A">
              <w:rPr>
                <w:rFonts w:cstheme="minorHAnsi"/>
                <w:lang w:val="en-GB"/>
              </w:rPr>
              <w:t xml:space="preserve"> the average</w:t>
            </w:r>
            <w:r>
              <w:rPr>
                <w:rFonts w:cstheme="minorHAnsi"/>
                <w:lang w:val="en-GB"/>
              </w:rPr>
              <w:t>/median is considered appropriate</w:t>
            </w:r>
            <w:r w:rsidRPr="0037442A">
              <w:rPr>
                <w:rFonts w:cstheme="minorHAnsi"/>
                <w:lang w:val="en-GB"/>
              </w:rPr>
              <w:t xml:space="preserve"> as it reflects best the programme reality and levels out extremes.</w:t>
            </w:r>
            <w:r>
              <w:rPr>
                <w:rFonts w:cstheme="minorHAnsi"/>
                <w:lang w:val="en-GB"/>
              </w:rPr>
              <w:t xml:space="preserve"> </w:t>
            </w:r>
            <w:r w:rsidRPr="00667334">
              <w:rPr>
                <w:rFonts w:cstheme="minorHAnsi"/>
                <w:lang w:val="en-GB"/>
              </w:rPr>
              <w:t xml:space="preserve">After taking into consideration also the number of </w:t>
            </w:r>
            <w:r w:rsidR="002C0A1A">
              <w:rPr>
                <w:rFonts w:cstheme="minorHAnsi"/>
                <w:lang w:val="en-GB"/>
              </w:rPr>
              <w:t>each type of event</w:t>
            </w:r>
            <w:r w:rsidRPr="00667334">
              <w:rPr>
                <w:rFonts w:cstheme="minorHAnsi"/>
                <w:lang w:val="en-GB"/>
              </w:rPr>
              <w:t xml:space="preserve"> and calculated mean and median values, the</w:t>
            </w:r>
            <w:r w:rsidR="00AF196F">
              <w:rPr>
                <w:rFonts w:cstheme="minorHAnsi"/>
                <w:u w:val="single"/>
                <w:lang w:val="en-GB"/>
              </w:rPr>
              <w:t xml:space="preserve"> </w:t>
            </w:r>
            <w:r w:rsidRPr="00667334">
              <w:rPr>
                <w:rFonts w:cstheme="minorHAnsi"/>
                <w:u w:val="single"/>
                <w:lang w:val="en-GB"/>
              </w:rPr>
              <w:t>unit cost</w:t>
            </w:r>
            <w:r w:rsidR="002C0A1A" w:rsidRPr="002C0A1A">
              <w:rPr>
                <w:rFonts w:cstheme="minorHAnsi"/>
                <w:u w:val="single"/>
                <w:vertAlign w:val="superscript"/>
                <w:lang w:val="en-GB"/>
              </w:rPr>
              <w:t>*</w:t>
            </w:r>
            <w:r w:rsidRPr="00AF196F">
              <w:rPr>
                <w:rFonts w:cstheme="minorHAnsi"/>
                <w:lang w:val="en-GB"/>
              </w:rPr>
              <w:t xml:space="preserve"> </w:t>
            </w:r>
            <w:r w:rsidRPr="00667334">
              <w:rPr>
                <w:rFonts w:cstheme="minorHAnsi"/>
                <w:lang w:val="en-GB"/>
              </w:rPr>
              <w:t xml:space="preserve">per participant per </w:t>
            </w:r>
            <w:proofErr w:type="gramStart"/>
            <w:r w:rsidR="00D832F1">
              <w:rPr>
                <w:rFonts w:cstheme="minorHAnsi"/>
                <w:lang w:val="en-GB"/>
              </w:rPr>
              <w:t>one</w:t>
            </w:r>
            <w:r w:rsidRPr="00667334">
              <w:rPr>
                <w:rFonts w:cstheme="minorHAnsi"/>
                <w:lang w:val="en-GB"/>
              </w:rPr>
              <w:t xml:space="preserve"> day</w:t>
            </w:r>
            <w:proofErr w:type="gramEnd"/>
            <w:r w:rsidRPr="00667334">
              <w:rPr>
                <w:rFonts w:cstheme="minorHAnsi"/>
                <w:lang w:val="en-GB"/>
              </w:rPr>
              <w:t xml:space="preserve"> event </w:t>
            </w:r>
            <w:r w:rsidRPr="00667334">
              <w:rPr>
                <w:rFonts w:cstheme="minorHAnsi"/>
                <w:u w:val="single"/>
                <w:lang w:val="en-GB"/>
              </w:rPr>
              <w:t>was calculated to 45,00 EUR</w:t>
            </w:r>
            <w:r w:rsidRPr="00667334">
              <w:rPr>
                <w:rFonts w:cstheme="minorHAnsi"/>
                <w:lang w:val="en-GB"/>
              </w:rPr>
              <w:t xml:space="preserve"> (see the MS Excel document).</w:t>
            </w:r>
          </w:p>
          <w:p w14:paraId="584405BA" w14:textId="77777777" w:rsidR="006C282C" w:rsidRPr="00667334" w:rsidRDefault="006C282C" w:rsidP="00743815">
            <w:pPr>
              <w:jc w:val="both"/>
              <w:rPr>
                <w:rFonts w:cstheme="minorHAnsi"/>
                <w:lang w:val="en-GB"/>
              </w:rPr>
            </w:pPr>
          </w:p>
          <w:p w14:paraId="18BA2558" w14:textId="5027D6D4" w:rsidR="00743815" w:rsidRPr="00667334" w:rsidRDefault="00743815" w:rsidP="00743815">
            <w:pPr>
              <w:jc w:val="both"/>
              <w:rPr>
                <w:rFonts w:cstheme="minorHAnsi"/>
                <w:lang w:val="en-GB"/>
              </w:rPr>
            </w:pPr>
            <w:r w:rsidRPr="00667334">
              <w:rPr>
                <w:rFonts w:cstheme="minorHAnsi"/>
                <w:lang w:val="en-GB"/>
              </w:rPr>
              <w:t xml:space="preserve">The decision was made to set </w:t>
            </w:r>
            <w:r w:rsidR="002C0A1A">
              <w:rPr>
                <w:rFonts w:cstheme="minorHAnsi"/>
                <w:lang w:val="en-GB"/>
              </w:rPr>
              <w:t>the</w:t>
            </w:r>
            <w:r w:rsidRPr="00667334">
              <w:rPr>
                <w:rFonts w:cstheme="minorHAnsi"/>
                <w:lang w:val="en-GB"/>
              </w:rPr>
              <w:t xml:space="preserve"> limit of at least 25 participants at “Type I” events.</w:t>
            </w:r>
          </w:p>
          <w:p w14:paraId="38375319" w14:textId="77777777" w:rsidR="00743815" w:rsidRPr="00667334" w:rsidRDefault="00743815" w:rsidP="00743815">
            <w:pPr>
              <w:jc w:val="both"/>
              <w:rPr>
                <w:rFonts w:cstheme="minorHAnsi"/>
                <w:lang w:val="en-GB"/>
              </w:rPr>
            </w:pPr>
          </w:p>
          <w:p w14:paraId="3D7BAD6A" w14:textId="77777777" w:rsidR="00743815" w:rsidRPr="00667334" w:rsidRDefault="00743815" w:rsidP="00743815">
            <w:pPr>
              <w:pStyle w:val="Odstavekseznama"/>
              <w:numPr>
                <w:ilvl w:val="0"/>
                <w:numId w:val="7"/>
              </w:numPr>
              <w:jc w:val="both"/>
              <w:rPr>
                <w:rFonts w:cstheme="minorHAnsi"/>
                <w:lang w:val="en-GB"/>
              </w:rPr>
            </w:pPr>
            <w:r w:rsidRPr="00667334">
              <w:rPr>
                <w:rFonts w:cstheme="minorHAnsi"/>
                <w:lang w:val="en-GB"/>
              </w:rPr>
              <w:t xml:space="preserve">The translation cost of documents stand at 20,00-30,00 EUR per page, and the interpretation costs (simultaneous, consecutive) are 110,00-140,00 EUR per hour. Since we made the length of the event obligatory to at least 4 hrs, the estimation of </w:t>
            </w:r>
            <w:r w:rsidRPr="00667334">
              <w:rPr>
                <w:rFonts w:cstheme="minorHAnsi"/>
                <w:u w:val="single"/>
                <w:lang w:val="en-GB"/>
              </w:rPr>
              <w:t>500,00 EUR translation costs per event</w:t>
            </w:r>
            <w:r w:rsidRPr="00667334">
              <w:rPr>
                <w:rFonts w:cstheme="minorHAnsi"/>
                <w:lang w:val="en-GB"/>
              </w:rPr>
              <w:t xml:space="preserve"> is reasonable.</w:t>
            </w:r>
          </w:p>
          <w:p w14:paraId="4CB89259" w14:textId="77777777" w:rsidR="00743815" w:rsidRPr="00667334" w:rsidRDefault="00743815" w:rsidP="00743815">
            <w:pPr>
              <w:jc w:val="both"/>
              <w:rPr>
                <w:rFonts w:cstheme="minorHAnsi"/>
                <w:lang w:val="en-GB"/>
              </w:rPr>
            </w:pPr>
          </w:p>
          <w:p w14:paraId="5FD34E2D" w14:textId="77777777" w:rsidR="00743815" w:rsidRPr="00667334" w:rsidRDefault="00743815" w:rsidP="00743815">
            <w:pPr>
              <w:pStyle w:val="Odstavekseznama"/>
              <w:numPr>
                <w:ilvl w:val="0"/>
                <w:numId w:val="7"/>
              </w:numPr>
              <w:jc w:val="both"/>
              <w:rPr>
                <w:lang w:val="en-GB"/>
              </w:rPr>
            </w:pPr>
            <w:r w:rsidRPr="00667334">
              <w:rPr>
                <w:lang w:val="en-GB"/>
              </w:rPr>
              <w:t>Remaining (</w:t>
            </w:r>
            <w:r w:rsidRPr="00667334">
              <w:rPr>
                <w:u w:val="single"/>
                <w:lang w:val="en-GB"/>
              </w:rPr>
              <w:t>other</w:t>
            </w:r>
            <w:r w:rsidRPr="00667334">
              <w:rPr>
                <w:lang w:val="en-GB"/>
              </w:rPr>
              <w:t xml:space="preserve">) </w:t>
            </w:r>
            <w:r w:rsidRPr="00667334">
              <w:rPr>
                <w:u w:val="single"/>
                <w:lang w:val="en-GB"/>
              </w:rPr>
              <w:t>costs</w:t>
            </w:r>
            <w:r w:rsidRPr="00667334">
              <w:rPr>
                <w:lang w:val="en-GB"/>
              </w:rPr>
              <w:t xml:space="preserve"> that were considered in the project size are: staff costs, administration costs, travel and accommodation costs); they are summarized to approximately </w:t>
            </w:r>
            <w:r w:rsidRPr="00667334">
              <w:rPr>
                <w:u w:val="single"/>
                <w:lang w:val="en-GB"/>
              </w:rPr>
              <w:t>40 % of the whole project budget</w:t>
            </w:r>
            <w:r w:rsidRPr="00667334">
              <w:rPr>
                <w:lang w:val="en-GB"/>
              </w:rPr>
              <w:t>.</w:t>
            </w:r>
            <w:r w:rsidRPr="00667334">
              <w:rPr>
                <w:rFonts w:eastAsiaTheme="minorEastAsia"/>
                <w:lang w:val="en-GB"/>
              </w:rPr>
              <w:t xml:space="preserve"> The justification of estimation of other costs to approximately 40 % is explained in the calculation below.</w:t>
            </w:r>
          </w:p>
          <w:p w14:paraId="486AF920" w14:textId="77777777" w:rsidR="00743815" w:rsidRPr="00667334" w:rsidRDefault="00743815" w:rsidP="00743815">
            <w:pPr>
              <w:jc w:val="both"/>
              <w:rPr>
                <w:rFonts w:cstheme="minorHAnsi"/>
                <w:lang w:val="en-GB"/>
              </w:rPr>
            </w:pPr>
          </w:p>
          <w:p w14:paraId="2D9B6499" w14:textId="6A368133" w:rsidR="00743815" w:rsidRDefault="00743815" w:rsidP="00743815">
            <w:pPr>
              <w:jc w:val="both"/>
              <w:rPr>
                <w:rFonts w:cstheme="minorHAnsi"/>
                <w:lang w:val="en-GB"/>
              </w:rPr>
            </w:pPr>
            <w:r w:rsidRPr="00667334">
              <w:rPr>
                <w:b/>
                <w:lang w:val="en-GB"/>
              </w:rPr>
              <w:t>CALCULATION OF UNIT COST</w:t>
            </w:r>
            <w:r w:rsidRPr="00667334">
              <w:rPr>
                <w:lang w:val="en-GB"/>
              </w:rPr>
              <w:t xml:space="preserve"> (</w:t>
            </w:r>
            <w:r w:rsidRPr="00667334">
              <w:rPr>
                <w:rFonts w:cstheme="minorHAnsi"/>
                <w:lang w:val="en-GB"/>
              </w:rPr>
              <w:t>project with 2 project partners; planning each one event with 25 participants):</w:t>
            </w:r>
          </w:p>
          <w:p w14:paraId="48076089" w14:textId="5E0F4DE5" w:rsidR="008E047B" w:rsidRDefault="008E047B" w:rsidP="00743815">
            <w:pPr>
              <w:jc w:val="both"/>
              <w:rPr>
                <w:rFonts w:cstheme="minorHAnsi"/>
                <w:lang w:val="en-GB"/>
              </w:rPr>
            </w:pPr>
          </w:p>
          <w:p w14:paraId="0C2C3A23" w14:textId="4B177E28" w:rsidR="008E047B" w:rsidRPr="00191E88" w:rsidRDefault="008E047B" w:rsidP="00743815">
            <w:pPr>
              <w:jc w:val="both"/>
              <w:rPr>
                <w:rFonts w:cstheme="minorHAnsi"/>
                <w:lang w:val="en-GB"/>
              </w:rPr>
            </w:pPr>
            <m:oMathPara>
              <m:oMathParaPr>
                <m:jc m:val="left"/>
              </m:oMathParaPr>
              <m:oMath>
                <m:r>
                  <m:rPr>
                    <m:sty m:val="p"/>
                  </m:rPr>
                  <w:rPr>
                    <w:rFonts w:ascii="Cambria Math" w:hAnsi="Cambria Math" w:cstheme="minorHAnsi"/>
                    <w:lang w:val="en-GB"/>
                  </w:rPr>
                  <m:t>project size=preparation costs+participation costs+no. of events×translation costs+other costs</m:t>
                </m:r>
              </m:oMath>
            </m:oMathPara>
          </w:p>
          <w:p w14:paraId="3D6F2024" w14:textId="77777777" w:rsidR="00743815" w:rsidRPr="00191E88" w:rsidRDefault="00743815" w:rsidP="00743815">
            <w:pPr>
              <w:jc w:val="both"/>
              <w:rPr>
                <w:rFonts w:cstheme="minorHAnsi"/>
                <w:lang w:val="en-GB"/>
              </w:rPr>
            </w:pPr>
          </w:p>
          <w:p w14:paraId="6B30E7C2" w14:textId="0C5C86BB" w:rsidR="00743815" w:rsidRPr="00191E88" w:rsidRDefault="00743815" w:rsidP="00743815">
            <w:pPr>
              <w:jc w:val="both"/>
              <w:rPr>
                <w:rFonts w:cstheme="minorHAnsi"/>
                <w:lang w:val="en-GB"/>
              </w:rPr>
            </w:pPr>
            <m:oMathPara>
              <m:oMathParaPr>
                <m:jc m:val="left"/>
              </m:oMathParaPr>
              <m:oMath>
                <m:r>
                  <m:rPr>
                    <m:sty m:val="p"/>
                  </m:rPr>
                  <w:rPr>
                    <w:rFonts w:ascii="Cambria Math" w:hAnsi="Cambria Math" w:cstheme="minorHAnsi"/>
                    <w:lang w:val="en-GB"/>
                  </w:rPr>
                  <m:t>project size=preparation costs+</m:t>
                </m:r>
                <m:sSup>
                  <m:sSupPr>
                    <m:ctrlPr>
                      <w:rPr>
                        <w:rFonts w:ascii="Cambria Math" w:hAnsi="Cambria Math" w:cstheme="minorHAnsi"/>
                        <w:lang w:val="en-GB"/>
                      </w:rPr>
                    </m:ctrlPr>
                  </m:sSupPr>
                  <m:e>
                    <m:r>
                      <m:rPr>
                        <m:sty m:val="p"/>
                      </m:rPr>
                      <w:rPr>
                        <w:rFonts w:ascii="Cambria Math" w:hAnsi="Cambria Math" w:cstheme="minorHAnsi"/>
                        <w:lang w:val="en-GB"/>
                      </w:rPr>
                      <m:t>unit cost</m:t>
                    </m:r>
                  </m:e>
                  <m:sup>
                    <m:r>
                      <m:rPr>
                        <m:sty m:val="p"/>
                      </m:rPr>
                      <w:rPr>
                        <w:rFonts w:ascii="Cambria Math" w:hAnsi="Cambria Math" w:cstheme="minorHAnsi"/>
                        <w:lang w:val="en-GB"/>
                      </w:rPr>
                      <m:t>*</m:t>
                    </m:r>
                  </m:sup>
                </m:sSup>
                <m:r>
                  <m:rPr>
                    <m:sty m:val="p"/>
                  </m:rPr>
                  <w:rPr>
                    <w:rFonts w:ascii="Cambria Math" w:hAnsi="Cambria Math" w:cstheme="minorHAnsi"/>
                    <w:lang w:val="en-GB"/>
                  </w:rPr>
                  <m:t>×no. of events×no. of participants+no. of events×translation costs+other costs</m:t>
                </m:r>
              </m:oMath>
            </m:oMathPara>
          </w:p>
          <w:p w14:paraId="4E37DFC8" w14:textId="77777777" w:rsidR="00743815" w:rsidRPr="00191E88" w:rsidRDefault="00743815" w:rsidP="00743815">
            <w:pPr>
              <w:jc w:val="both"/>
              <w:rPr>
                <w:rFonts w:cstheme="minorHAnsi"/>
                <w:lang w:val="en-GB"/>
              </w:rPr>
            </w:pPr>
          </w:p>
          <w:p w14:paraId="5090E17C" w14:textId="77777777" w:rsidR="00743815" w:rsidRPr="00191E88" w:rsidRDefault="00743815" w:rsidP="00743815">
            <w:pPr>
              <w:jc w:val="both"/>
              <w:rPr>
                <w:rFonts w:eastAsiaTheme="minorEastAsia" w:cstheme="minorHAnsi"/>
                <w:lang w:val="en-GB"/>
              </w:rPr>
            </w:pPr>
            <m:oMathPara>
              <m:oMathParaPr>
                <m:jc m:val="left"/>
              </m:oMathParaPr>
              <m:oMath>
                <m:r>
                  <m:rPr>
                    <m:sty m:val="p"/>
                  </m:rPr>
                  <w:rPr>
                    <w:rFonts w:ascii="Cambria Math" w:hAnsi="Cambria Math" w:cstheme="minorHAnsi"/>
                    <w:lang w:val="en-GB"/>
                  </w:rPr>
                  <m:t>preparation costs=500,00 EUR</m:t>
                </m:r>
              </m:oMath>
            </m:oMathPara>
          </w:p>
          <w:p w14:paraId="6127261D" w14:textId="77777777" w:rsidR="00743815" w:rsidRPr="00191E88" w:rsidRDefault="00743815" w:rsidP="00743815">
            <w:pPr>
              <w:jc w:val="both"/>
              <w:rPr>
                <w:rFonts w:eastAsiaTheme="minorEastAsia" w:cstheme="minorHAnsi"/>
                <w:lang w:val="en-GB"/>
              </w:rPr>
            </w:pPr>
          </w:p>
          <w:p w14:paraId="35EE1F19" w14:textId="3982D39A" w:rsidR="00743815" w:rsidRPr="00191E88" w:rsidRDefault="008E047B" w:rsidP="00743815">
            <w:pPr>
              <w:jc w:val="both"/>
              <w:rPr>
                <w:rFonts w:eastAsiaTheme="minorEastAsia" w:cstheme="minorHAnsi"/>
                <w:lang w:val="en-GB"/>
              </w:rPr>
            </w:pPr>
            <m:oMathPara>
              <m:oMathParaPr>
                <m:jc m:val="left"/>
              </m:oMathParaPr>
              <m:oMath>
                <m:r>
                  <m:rPr>
                    <m:sty m:val="p"/>
                  </m:rPr>
                  <w:rPr>
                    <w:rFonts w:ascii="Cambria Math" w:hAnsi="Cambria Math" w:cstheme="minorHAnsi"/>
                    <w:lang w:val="en-GB"/>
                  </w:rPr>
                  <m:t>participation costs=45,00 EUR×2×25=2.250,00 EUR</m:t>
                </m:r>
              </m:oMath>
            </m:oMathPara>
            <w:bookmarkStart w:id="0" w:name="_GoBack"/>
            <w:bookmarkEnd w:id="0"/>
          </w:p>
          <w:p w14:paraId="0B2BBF87" w14:textId="77777777" w:rsidR="00743815" w:rsidRPr="00191E88" w:rsidRDefault="00743815" w:rsidP="00743815">
            <w:pPr>
              <w:jc w:val="both"/>
              <w:rPr>
                <w:rFonts w:eastAsiaTheme="minorEastAsia" w:cstheme="minorHAnsi"/>
                <w:lang w:val="en-GB"/>
              </w:rPr>
            </w:pPr>
          </w:p>
          <w:p w14:paraId="285F4F6C" w14:textId="77777777" w:rsidR="00743815" w:rsidRPr="00191E88" w:rsidRDefault="00743815" w:rsidP="00743815">
            <w:pPr>
              <w:jc w:val="both"/>
              <w:rPr>
                <w:rFonts w:eastAsiaTheme="minorEastAsia" w:cstheme="minorHAnsi"/>
                <w:lang w:val="en-GB"/>
              </w:rPr>
            </w:pPr>
            <m:oMathPara>
              <m:oMathParaPr>
                <m:jc m:val="left"/>
              </m:oMathParaPr>
              <m:oMath>
                <m:r>
                  <m:rPr>
                    <m:sty m:val="p"/>
                  </m:rPr>
                  <w:rPr>
                    <w:rFonts w:ascii="Cambria Math" w:hAnsi="Cambria Math" w:cstheme="minorHAnsi"/>
                    <w:lang w:val="en-GB"/>
                  </w:rPr>
                  <m:t>translation costs=2×500,00 EUR</m:t>
                </m:r>
              </m:oMath>
            </m:oMathPara>
          </w:p>
          <w:p w14:paraId="6B76B09B" w14:textId="77777777" w:rsidR="00743815" w:rsidRPr="00191E88" w:rsidRDefault="00743815" w:rsidP="00743815">
            <w:pPr>
              <w:jc w:val="both"/>
              <w:rPr>
                <w:rFonts w:cstheme="minorHAnsi"/>
                <w:lang w:val="en-GB"/>
              </w:rPr>
            </w:pPr>
          </w:p>
          <w:p w14:paraId="43622A5C" w14:textId="77777777" w:rsidR="00743815" w:rsidRPr="00191E88" w:rsidRDefault="00743815" w:rsidP="00743815">
            <w:pPr>
              <w:jc w:val="both"/>
              <w:rPr>
                <w:rFonts w:eastAsiaTheme="minorEastAsia" w:cstheme="minorHAnsi"/>
                <w:lang w:val="en-GB"/>
              </w:rPr>
            </w:pPr>
            <m:oMathPara>
              <m:oMathParaPr>
                <m:jc m:val="left"/>
              </m:oMathParaPr>
              <m:oMath>
                <m:r>
                  <m:rPr>
                    <m:sty m:val="p"/>
                  </m:rPr>
                  <w:rPr>
                    <w:rFonts w:ascii="Cambria Math" w:hAnsi="Cambria Math" w:cstheme="minorHAnsi"/>
                    <w:lang w:val="en-GB"/>
                  </w:rPr>
                  <m:t>project size=</m:t>
                </m:r>
                <m:f>
                  <m:fPr>
                    <m:ctrlPr>
                      <w:rPr>
                        <w:rFonts w:ascii="Cambria Math" w:hAnsi="Cambria Math" w:cstheme="minorHAnsi"/>
                        <w:lang w:val="en-GB"/>
                      </w:rPr>
                    </m:ctrlPr>
                  </m:fPr>
                  <m:num>
                    <m:r>
                      <m:rPr>
                        <m:sty m:val="p"/>
                      </m:rPr>
                      <w:rPr>
                        <w:rFonts w:ascii="Cambria Math" w:hAnsi="Cambria Math" w:cstheme="minorHAnsi"/>
                        <w:lang w:val="en-GB"/>
                      </w:rPr>
                      <m:t>500,00 EUR+2.250,00 EUR+1.000,00 EUR</m:t>
                    </m:r>
                  </m:num>
                  <m:den>
                    <m:r>
                      <m:rPr>
                        <m:sty m:val="p"/>
                      </m:rPr>
                      <w:rPr>
                        <w:rFonts w:ascii="Cambria Math" w:hAnsi="Cambria Math" w:cstheme="minorHAnsi"/>
                        <w:lang w:val="en-GB"/>
                      </w:rPr>
                      <m:t>0,6</m:t>
                    </m:r>
                  </m:den>
                </m:f>
                <m:r>
                  <m:rPr>
                    <m:sty m:val="p"/>
                  </m:rPr>
                  <w:rPr>
                    <w:rFonts w:ascii="Cambria Math" w:hAnsi="Cambria Math" w:cstheme="minorHAnsi"/>
                    <w:lang w:val="en-GB"/>
                  </w:rPr>
                  <m:t>=6.250,00 EUR</m:t>
                </m:r>
              </m:oMath>
            </m:oMathPara>
          </w:p>
          <w:p w14:paraId="27FFF599" w14:textId="77777777" w:rsidR="00743815" w:rsidRPr="00191E88" w:rsidRDefault="00743815" w:rsidP="00743815">
            <w:pPr>
              <w:jc w:val="both"/>
              <w:rPr>
                <w:rFonts w:cstheme="minorHAnsi"/>
                <w:lang w:val="en-GB"/>
              </w:rPr>
            </w:pPr>
          </w:p>
          <w:p w14:paraId="217DB0D2" w14:textId="7248BCD5" w:rsidR="00743815" w:rsidRPr="002C0A1A" w:rsidRDefault="00743815" w:rsidP="00743815">
            <w:pPr>
              <w:jc w:val="both"/>
              <w:rPr>
                <w:rFonts w:eastAsiaTheme="minorEastAsia"/>
                <w:lang w:val="en-GB"/>
              </w:rPr>
            </w:pPr>
            <m:oMathPara>
              <m:oMathParaPr>
                <m:jc m:val="left"/>
              </m:oMathParaPr>
              <m:oMath>
                <m:r>
                  <m:rPr>
                    <m:sty m:val="p"/>
                  </m:rPr>
                  <w:rPr>
                    <w:rFonts w:ascii="Cambria Math" w:hAnsi="Cambria Math"/>
                    <w:lang w:val="en-GB"/>
                  </w:rPr>
                  <m:t>other costs=0,4×project size=2.500,00 EUR</m:t>
                </m:r>
              </m:oMath>
            </m:oMathPara>
          </w:p>
          <w:p w14:paraId="6B811A35" w14:textId="77777777" w:rsidR="002C0A1A" w:rsidRPr="00667334" w:rsidRDefault="002C0A1A" w:rsidP="00743815">
            <w:pPr>
              <w:jc w:val="both"/>
              <w:rPr>
                <w:rFonts w:eastAsiaTheme="minorEastAsia"/>
                <w:lang w:val="en-GB"/>
              </w:rPr>
            </w:pPr>
          </w:p>
          <w:p w14:paraId="38225060" w14:textId="2A064091" w:rsidR="002C0A1A" w:rsidRPr="001B3F8B" w:rsidRDefault="002C0A1A" w:rsidP="002C0A1A">
            <w:pPr>
              <w:jc w:val="both"/>
              <w:rPr>
                <w:rFonts w:eastAsiaTheme="minorEastAsia"/>
                <w:lang w:val="en-GB"/>
              </w:rPr>
            </w:pPr>
            <w:r w:rsidRPr="00667334">
              <w:rPr>
                <w:rFonts w:eastAsiaTheme="minorEastAsia"/>
                <w:lang w:val="en-GB"/>
              </w:rPr>
              <w:t>In the calculation the 2.500,00 EUR is calculated as other costs. This amou</w:t>
            </w:r>
            <w:r w:rsidR="006C282C">
              <w:rPr>
                <w:rFonts w:eastAsiaTheme="minorEastAsia"/>
                <w:lang w:val="en-GB"/>
              </w:rPr>
              <w:t>nt must</w:t>
            </w:r>
            <w:r w:rsidRPr="00667334">
              <w:rPr>
                <w:rFonts w:eastAsiaTheme="minorEastAsia"/>
                <w:lang w:val="en-GB"/>
              </w:rPr>
              <w:t xml:space="preserve"> </w:t>
            </w:r>
            <w:r w:rsidR="00DA1D28">
              <w:rPr>
                <w:rFonts w:eastAsiaTheme="minorEastAsia"/>
                <w:lang w:val="en-GB"/>
              </w:rPr>
              <w:t xml:space="preserve">be </w:t>
            </w:r>
            <w:r w:rsidRPr="00667334">
              <w:rPr>
                <w:rFonts w:eastAsiaTheme="minorEastAsia"/>
                <w:lang w:val="en-GB"/>
              </w:rPr>
              <w:t xml:space="preserve">divided to 2 partners (each 1.250,00 EUR). </w:t>
            </w:r>
            <w:r w:rsidR="006C282C" w:rsidRPr="00667334">
              <w:rPr>
                <w:rFonts w:eastAsiaTheme="minorEastAsia"/>
                <w:lang w:val="en-GB"/>
              </w:rPr>
              <w:t xml:space="preserve">If </w:t>
            </w:r>
            <w:r w:rsidR="006C282C">
              <w:rPr>
                <w:rFonts w:eastAsiaTheme="minorEastAsia"/>
                <w:lang w:val="en-GB"/>
              </w:rPr>
              <w:t>100</w:t>
            </w:r>
            <w:r w:rsidR="006C282C" w:rsidRPr="00667334">
              <w:rPr>
                <w:rFonts w:eastAsiaTheme="minorEastAsia"/>
                <w:lang w:val="en-GB"/>
              </w:rPr>
              <w:t>,</w:t>
            </w:r>
            <w:r w:rsidR="006C282C">
              <w:rPr>
                <w:rFonts w:eastAsiaTheme="minorEastAsia"/>
                <w:lang w:val="en-GB"/>
              </w:rPr>
              <w:t>0</w:t>
            </w:r>
            <w:r w:rsidR="006C282C" w:rsidRPr="00667334">
              <w:rPr>
                <w:rFonts w:eastAsiaTheme="minorEastAsia"/>
                <w:lang w:val="en-GB"/>
              </w:rPr>
              <w:t>0 EUR are traveling costs used to attend the even</w:t>
            </w:r>
            <w:r w:rsidR="006C282C">
              <w:rPr>
                <w:rFonts w:eastAsiaTheme="minorEastAsia"/>
                <w:lang w:val="en-GB"/>
              </w:rPr>
              <w:t>t within the programme area, 1.15</w:t>
            </w:r>
            <w:r w:rsidR="006C282C" w:rsidRPr="00667334">
              <w:rPr>
                <w:rFonts w:eastAsiaTheme="minorEastAsia"/>
                <w:lang w:val="en-GB"/>
              </w:rPr>
              <w:t xml:space="preserve">0,00 EUR remain. </w:t>
            </w:r>
            <w:r w:rsidRPr="00667334">
              <w:rPr>
                <w:rFonts w:eastAsiaTheme="minorEastAsia"/>
                <w:lang w:val="en-GB"/>
              </w:rPr>
              <w:t>15 % of 1.</w:t>
            </w:r>
            <w:r w:rsidR="006C282C">
              <w:rPr>
                <w:rFonts w:eastAsiaTheme="minorEastAsia"/>
                <w:lang w:val="en-GB"/>
              </w:rPr>
              <w:t>1</w:t>
            </w:r>
            <w:r w:rsidRPr="00667334">
              <w:rPr>
                <w:rFonts w:eastAsiaTheme="minorEastAsia"/>
                <w:lang w:val="en-GB"/>
              </w:rPr>
              <w:t>50,00 EUR re</w:t>
            </w:r>
            <w:r w:rsidR="006C282C">
              <w:rPr>
                <w:rFonts w:eastAsiaTheme="minorEastAsia"/>
                <w:lang w:val="en-GB"/>
              </w:rPr>
              <w:t>present administration costs (172</w:t>
            </w:r>
            <w:r w:rsidRPr="00667334">
              <w:rPr>
                <w:rFonts w:eastAsiaTheme="minorEastAsia"/>
                <w:lang w:val="en-GB"/>
              </w:rPr>
              <w:t xml:space="preserve">,50 EUR), which leaves </w:t>
            </w:r>
            <w:r w:rsidR="006C282C">
              <w:rPr>
                <w:rFonts w:eastAsiaTheme="minorEastAsia"/>
                <w:lang w:val="en-GB"/>
              </w:rPr>
              <w:t>987,50</w:t>
            </w:r>
            <w:r w:rsidRPr="00667334">
              <w:rPr>
                <w:rFonts w:eastAsiaTheme="minorEastAsia"/>
                <w:lang w:val="en-GB"/>
              </w:rPr>
              <w:t xml:space="preserve"> EUR. </w:t>
            </w:r>
            <w:r w:rsidRPr="00667334">
              <w:rPr>
                <w:rFonts w:eastAsiaTheme="minorEastAsia" w:cstheme="minorHAnsi"/>
                <w:lang w:val="en-GB"/>
              </w:rPr>
              <w:t>With average monthly gross earnings in August (according to Statistical office of Republic of Slovenia)</w:t>
            </w:r>
            <w:r>
              <w:rPr>
                <w:rFonts w:eastAsiaTheme="minorEastAsia" w:cstheme="minorHAnsi"/>
                <w:lang w:val="en-GB"/>
              </w:rPr>
              <w:t xml:space="preserve"> the</w:t>
            </w:r>
            <w:r w:rsidRPr="00667334">
              <w:rPr>
                <w:rFonts w:eastAsiaTheme="minorEastAsia" w:cstheme="minorHAnsi"/>
                <w:lang w:val="en-GB"/>
              </w:rPr>
              <w:t xml:space="preserve"> amount of </w:t>
            </w:r>
            <w:r w:rsidR="006C282C">
              <w:rPr>
                <w:rFonts w:eastAsiaTheme="minorEastAsia" w:cstheme="minorHAnsi"/>
                <w:lang w:val="en-GB"/>
              </w:rPr>
              <w:t xml:space="preserve">approximately </w:t>
            </w:r>
            <w:r w:rsidRPr="00667334">
              <w:rPr>
                <w:rFonts w:eastAsiaTheme="minorEastAsia" w:cstheme="minorHAnsi"/>
                <w:lang w:val="en-GB"/>
              </w:rPr>
              <w:t xml:space="preserve">1.000,00 EUR means about </w:t>
            </w:r>
            <w:r>
              <w:rPr>
                <w:rFonts w:eastAsiaTheme="minorEastAsia" w:cstheme="minorHAnsi"/>
                <w:lang w:val="en-GB"/>
              </w:rPr>
              <w:t>10</w:t>
            </w:r>
            <w:r w:rsidRPr="00667334">
              <w:rPr>
                <w:rFonts w:eastAsiaTheme="minorEastAsia" w:cstheme="minorHAnsi"/>
                <w:lang w:val="en-GB"/>
              </w:rPr>
              <w:t xml:space="preserve"> working days that are available for each partner’s staff to prepare and implement the event, and report afterwards.</w:t>
            </w:r>
          </w:p>
          <w:p w14:paraId="6DF531A4" w14:textId="77777777" w:rsidR="00743815" w:rsidRPr="00667334" w:rsidRDefault="00743815" w:rsidP="00743815">
            <w:pPr>
              <w:jc w:val="both"/>
              <w:rPr>
                <w:rFonts w:eastAsiaTheme="minorEastAsia"/>
                <w:lang w:val="en-GB"/>
              </w:rPr>
            </w:pPr>
          </w:p>
          <w:p w14:paraId="4F452174" w14:textId="01098C7D" w:rsidR="00743815" w:rsidRDefault="00187FFB" w:rsidP="00743815">
            <w:pPr>
              <w:jc w:val="both"/>
              <w:rPr>
                <w:lang w:val="en-GB"/>
              </w:rPr>
            </w:pPr>
            <w:r>
              <w:rPr>
                <w:lang w:val="en-GB"/>
              </w:rPr>
              <w:t>For the programming period 2021-2027 the c</w:t>
            </w:r>
            <w:r w:rsidR="00743815" w:rsidRPr="00667334">
              <w:rPr>
                <w:lang w:val="en-GB"/>
              </w:rPr>
              <w:t xml:space="preserve">alculated unit cost per participant per event is therefore estimated to: </w:t>
            </w:r>
          </w:p>
          <w:p w14:paraId="665F354E" w14:textId="77777777" w:rsidR="001D264C" w:rsidRPr="00667334" w:rsidRDefault="001D264C" w:rsidP="00743815">
            <w:pPr>
              <w:jc w:val="both"/>
              <w:rPr>
                <w:lang w:val="en-GB"/>
              </w:rPr>
            </w:pPr>
          </w:p>
          <w:p w14:paraId="5668D44E" w14:textId="37B9153E" w:rsidR="00743815" w:rsidRPr="007C4325" w:rsidRDefault="00743815" w:rsidP="00743815">
            <w:pPr>
              <w:jc w:val="both"/>
              <w:rPr>
                <w:rFonts w:eastAsiaTheme="minorEastAsia"/>
                <w:b/>
                <w:lang w:val="en-GB"/>
              </w:rPr>
            </w:pPr>
            <m:oMathPara>
              <m:oMathParaPr>
                <m:jc m:val="center"/>
              </m:oMathParaPr>
              <m:oMath>
                <m:r>
                  <m:rPr>
                    <m:sty m:val="b"/>
                  </m:rPr>
                  <w:rPr>
                    <w:rFonts w:ascii="Cambria Math" w:hAnsi="Cambria Math"/>
                    <w:lang w:val="en-GB"/>
                  </w:rPr>
                  <m:t>UNIT COST=</m:t>
                </m:r>
                <m:f>
                  <m:fPr>
                    <m:ctrlPr>
                      <w:rPr>
                        <w:rFonts w:ascii="Cambria Math" w:hAnsi="Cambria Math"/>
                        <w:lang w:val="en-GB"/>
                      </w:rPr>
                    </m:ctrlPr>
                  </m:fPr>
                  <m:num>
                    <m:r>
                      <m:rPr>
                        <m:sty m:val="p"/>
                      </m:rPr>
                      <w:rPr>
                        <w:rFonts w:ascii="Cambria Math" w:hAnsi="Cambria Math"/>
                        <w:lang w:val="en-GB"/>
                      </w:rPr>
                      <m:t>6.250,00 EUR</m:t>
                    </m:r>
                  </m:num>
                  <m:den>
                    <m:r>
                      <m:rPr>
                        <m:sty m:val="p"/>
                      </m:rPr>
                      <w:rPr>
                        <w:rFonts w:ascii="Cambria Math" w:hAnsi="Cambria Math"/>
                        <w:lang w:val="en-GB"/>
                      </w:rPr>
                      <m:t>2×25</m:t>
                    </m:r>
                  </m:den>
                </m:f>
                <m:r>
                  <m:rPr>
                    <m:sty m:val="b"/>
                  </m:rPr>
                  <w:rPr>
                    <w:rFonts w:ascii="Cambria Math" w:hAnsi="Cambria Math"/>
                    <w:lang w:val="en-GB"/>
                  </w:rPr>
                  <m:t>=125,00 EUR</m:t>
                </m:r>
              </m:oMath>
            </m:oMathPara>
          </w:p>
          <w:p w14:paraId="0EA59453" w14:textId="77777777" w:rsidR="00743815" w:rsidRPr="00667334" w:rsidRDefault="00743815" w:rsidP="00743815">
            <w:pPr>
              <w:jc w:val="both"/>
              <w:rPr>
                <w:rFonts w:eastAsiaTheme="minorEastAsia"/>
                <w:b/>
                <w:lang w:val="en-GB"/>
              </w:rPr>
            </w:pPr>
          </w:p>
          <w:p w14:paraId="0137DB6B" w14:textId="77777777" w:rsidR="00743815" w:rsidRPr="00667334" w:rsidRDefault="00743815" w:rsidP="00743815">
            <w:pPr>
              <w:jc w:val="both"/>
              <w:rPr>
                <w:rFonts w:eastAsiaTheme="minorEastAsia"/>
                <w:b/>
                <w:lang w:val="en-GB"/>
              </w:rPr>
            </w:pPr>
          </w:p>
          <w:p w14:paraId="5004DB1B" w14:textId="77777777" w:rsidR="00743815" w:rsidRPr="00667334" w:rsidRDefault="00743815" w:rsidP="00743815">
            <w:pPr>
              <w:rPr>
                <w:b/>
                <w:lang w:val="en-GB"/>
              </w:rPr>
            </w:pPr>
            <w:r w:rsidRPr="00667334">
              <w:rPr>
                <w:b/>
                <w:lang w:val="en-GB"/>
              </w:rPr>
              <w:br w:type="page"/>
            </w:r>
          </w:p>
          <w:p w14:paraId="65568428" w14:textId="77777777" w:rsidR="00743815" w:rsidRPr="00667334" w:rsidRDefault="00743815" w:rsidP="00743815">
            <w:pPr>
              <w:jc w:val="both"/>
              <w:rPr>
                <w:b/>
                <w:lang w:val="en-GB"/>
              </w:rPr>
            </w:pPr>
            <w:r w:rsidRPr="00667334">
              <w:rPr>
                <w:b/>
                <w:lang w:val="en-GB"/>
              </w:rPr>
              <w:t>Methodology II</w:t>
            </w:r>
          </w:p>
          <w:p w14:paraId="4318DB35" w14:textId="77777777" w:rsidR="00743815" w:rsidRPr="00667334" w:rsidRDefault="00743815" w:rsidP="00743815">
            <w:pPr>
              <w:jc w:val="both"/>
              <w:rPr>
                <w:b/>
                <w:lang w:val="en-GB"/>
              </w:rPr>
            </w:pPr>
            <w:r w:rsidRPr="00667334">
              <w:rPr>
                <w:b/>
                <w:lang w:val="en-GB"/>
              </w:rPr>
              <w:t>Type II – Mutual trust building projects based on lump sum</w:t>
            </w:r>
          </w:p>
          <w:p w14:paraId="2B9E5094" w14:textId="77777777" w:rsidR="00743815" w:rsidRPr="00667334" w:rsidRDefault="00743815" w:rsidP="00743815">
            <w:pPr>
              <w:jc w:val="both"/>
              <w:rPr>
                <w:rFonts w:eastAsiaTheme="minorEastAsia"/>
                <w:b/>
                <w:lang w:val="en-GB"/>
              </w:rPr>
            </w:pPr>
          </w:p>
          <w:p w14:paraId="78A6799A" w14:textId="49C061B6" w:rsidR="00743815" w:rsidRPr="00667334" w:rsidRDefault="002C0A1A" w:rsidP="00BB38DC">
            <w:pPr>
              <w:jc w:val="both"/>
              <w:rPr>
                <w:rFonts w:cstheme="minorHAnsi"/>
                <w:lang w:val="en-GB"/>
              </w:rPr>
            </w:pPr>
            <w:r>
              <w:rPr>
                <w:lang w:val="en-GB"/>
              </w:rPr>
              <w:t>For the calculation of the</w:t>
            </w:r>
            <w:r w:rsidRPr="00667334">
              <w:rPr>
                <w:lang w:val="en-GB"/>
              </w:rPr>
              <w:t xml:space="preserve"> amount per unit of measurement (</w:t>
            </w:r>
            <w:r w:rsidR="00BB38DC" w:rsidRPr="00667334">
              <w:rPr>
                <w:lang w:val="en-GB"/>
              </w:rPr>
              <w:t>lump sum for events</w:t>
            </w:r>
            <w:r w:rsidRPr="00667334">
              <w:rPr>
                <w:lang w:val="en-GB"/>
              </w:rPr>
              <w:t xml:space="preserve">) </w:t>
            </w:r>
            <w:r>
              <w:rPr>
                <w:lang w:val="en-GB"/>
              </w:rPr>
              <w:t>a</w:t>
            </w:r>
            <w:r w:rsidRPr="00667334">
              <w:rPr>
                <w:rFonts w:cstheme="minorHAnsi"/>
                <w:lang w:val="en-GB"/>
              </w:rPr>
              <w:t xml:space="preserve">t least two </w:t>
            </w:r>
            <w:r w:rsidR="00BB38DC" w:rsidRPr="00667334">
              <w:rPr>
                <w:rFonts w:cstheme="minorHAnsi"/>
                <w:lang w:val="en-GB"/>
              </w:rPr>
              <w:t>events (</w:t>
            </w:r>
            <w:r w:rsidR="008E047B">
              <w:rPr>
                <w:rFonts w:cstheme="minorHAnsi"/>
                <w:lang w:val="en-GB"/>
              </w:rPr>
              <w:t xml:space="preserve">each </w:t>
            </w:r>
            <w:r w:rsidR="00BB38DC" w:rsidRPr="00667334">
              <w:rPr>
                <w:rFonts w:cstheme="minorHAnsi"/>
                <w:lang w:val="en-GB"/>
              </w:rPr>
              <w:t>min 4 hrs long), one per each member state are required. Open events are considered, with approximately 200 people attending; such as concerts and markets/fairs.</w:t>
            </w:r>
            <w:r w:rsidR="00743815" w:rsidRPr="00667334">
              <w:rPr>
                <w:rFonts w:cstheme="minorHAnsi"/>
                <w:lang w:val="en-GB"/>
              </w:rPr>
              <w:t xml:space="preserve"> </w:t>
            </w:r>
          </w:p>
          <w:p w14:paraId="2593F478" w14:textId="77777777" w:rsidR="00743815" w:rsidRPr="00667334" w:rsidRDefault="00743815" w:rsidP="00743815">
            <w:pPr>
              <w:jc w:val="both"/>
              <w:rPr>
                <w:rFonts w:cstheme="minorHAnsi"/>
                <w:lang w:val="en-GB"/>
              </w:rPr>
            </w:pPr>
          </w:p>
          <w:p w14:paraId="46FA820C" w14:textId="4BC8A982" w:rsidR="00743815" w:rsidRDefault="00BB38DC" w:rsidP="00BB38DC">
            <w:pPr>
              <w:pStyle w:val="Odstavekseznama"/>
              <w:numPr>
                <w:ilvl w:val="0"/>
                <w:numId w:val="8"/>
              </w:numPr>
              <w:jc w:val="both"/>
              <w:rPr>
                <w:rFonts w:cstheme="minorHAnsi"/>
                <w:lang w:val="en-GB"/>
              </w:rPr>
            </w:pPr>
            <w:r w:rsidRPr="00BB38DC">
              <w:rPr>
                <w:rFonts w:cstheme="minorHAnsi"/>
                <w:b/>
                <w:u w:val="single"/>
                <w:lang w:val="en-GB"/>
              </w:rPr>
              <w:t>The p</w:t>
            </w:r>
            <w:r w:rsidR="00743815" w:rsidRPr="00BB38DC">
              <w:rPr>
                <w:rFonts w:cstheme="minorHAnsi"/>
                <w:b/>
                <w:u w:val="single"/>
                <w:lang w:val="en-GB"/>
              </w:rPr>
              <w:t>reparation</w:t>
            </w:r>
            <w:r w:rsidR="00743815" w:rsidRPr="000F6135">
              <w:rPr>
                <w:rFonts w:cstheme="minorHAnsi"/>
                <w:b/>
                <w:u w:val="single"/>
                <w:lang w:val="en-GB"/>
              </w:rPr>
              <w:t xml:space="preserve"> costs</w:t>
            </w:r>
            <w:r>
              <w:rPr>
                <w:rFonts w:cstheme="minorHAnsi"/>
                <w:lang w:val="en-GB"/>
              </w:rPr>
              <w:t xml:space="preserve"> are</w:t>
            </w:r>
            <w:r w:rsidR="00743815" w:rsidRPr="000F6135">
              <w:rPr>
                <w:rFonts w:cstheme="minorHAnsi"/>
                <w:lang w:val="en-GB"/>
              </w:rPr>
              <w:t xml:space="preserve"> estimated to </w:t>
            </w:r>
            <w:r w:rsidR="00743815" w:rsidRPr="000F6135">
              <w:rPr>
                <w:rFonts w:cstheme="minorHAnsi"/>
                <w:b/>
                <w:u w:val="single"/>
                <w:lang w:val="en-GB"/>
              </w:rPr>
              <w:t>500,00 EUR</w:t>
            </w:r>
            <w:r>
              <w:rPr>
                <w:rFonts w:cstheme="minorHAnsi"/>
                <w:lang w:val="en-GB"/>
              </w:rPr>
              <w:t xml:space="preserve"> using the same methodology as for type I projects</w:t>
            </w:r>
          </w:p>
          <w:p w14:paraId="6C1BCA53" w14:textId="77777777" w:rsidR="00B903B8" w:rsidRPr="00667334" w:rsidRDefault="00B903B8" w:rsidP="00B903B8">
            <w:pPr>
              <w:pStyle w:val="Odstavekseznama"/>
              <w:ind w:left="360"/>
              <w:jc w:val="both"/>
              <w:rPr>
                <w:rFonts w:cstheme="minorHAnsi"/>
                <w:lang w:val="en-GB"/>
              </w:rPr>
            </w:pPr>
          </w:p>
          <w:p w14:paraId="135BCED1" w14:textId="08619912" w:rsidR="00743815" w:rsidRPr="00667334" w:rsidRDefault="00743815" w:rsidP="00743815">
            <w:pPr>
              <w:pStyle w:val="Odstavekseznama"/>
              <w:numPr>
                <w:ilvl w:val="0"/>
                <w:numId w:val="8"/>
              </w:numPr>
              <w:jc w:val="both"/>
              <w:rPr>
                <w:rFonts w:cstheme="minorHAnsi"/>
                <w:lang w:val="en-GB"/>
              </w:rPr>
            </w:pPr>
            <w:r w:rsidRPr="001D264C">
              <w:rPr>
                <w:rFonts w:cstheme="minorHAnsi"/>
                <w:i/>
                <w:u w:val="single"/>
                <w:lang w:val="en-GB"/>
              </w:rPr>
              <w:t>Lump sum</w:t>
            </w:r>
            <w:r w:rsidRPr="001D264C">
              <w:rPr>
                <w:rFonts w:cstheme="minorHAnsi"/>
                <w:i/>
                <w:u w:val="single"/>
                <w:vertAlign w:val="superscript"/>
                <w:lang w:val="en-GB"/>
              </w:rPr>
              <w:t>*</w:t>
            </w:r>
            <w:r w:rsidRPr="001D264C">
              <w:rPr>
                <w:rFonts w:cstheme="minorHAnsi"/>
                <w:u w:val="single"/>
                <w:lang w:val="en-GB"/>
              </w:rPr>
              <w:t xml:space="preserve"> for 1 event covering</w:t>
            </w:r>
            <w:r w:rsidRPr="00667334">
              <w:rPr>
                <w:rFonts w:cstheme="minorHAnsi"/>
                <w:u w:val="single"/>
                <w:lang w:val="en-GB"/>
              </w:rPr>
              <w:t xml:space="preserve"> moderation, venue </w:t>
            </w:r>
            <w:r w:rsidRPr="00667334">
              <w:rPr>
                <w:u w:val="single"/>
                <w:lang w:val="en-GB"/>
              </w:rPr>
              <w:t xml:space="preserve">(room, </w:t>
            </w:r>
            <w:r w:rsidRPr="00BB38DC">
              <w:rPr>
                <w:u w:val="single"/>
                <w:lang w:val="en-GB"/>
              </w:rPr>
              <w:t xml:space="preserve">equipment), </w:t>
            </w:r>
            <w:r w:rsidRPr="00BB38DC">
              <w:rPr>
                <w:rFonts w:cstheme="minorHAnsi"/>
                <w:u w:val="single"/>
                <w:lang w:val="en-GB"/>
              </w:rPr>
              <w:t>and</w:t>
            </w:r>
            <w:r w:rsidRPr="00667334">
              <w:rPr>
                <w:rFonts w:cstheme="minorHAnsi"/>
                <w:u w:val="single"/>
                <w:lang w:val="en-GB"/>
              </w:rPr>
              <w:t xml:space="preserve"> catering</w:t>
            </w:r>
            <w:r w:rsidRPr="00667334">
              <w:rPr>
                <w:rFonts w:cstheme="minorHAnsi"/>
                <w:lang w:val="en-GB"/>
              </w:rPr>
              <w:t xml:space="preserve"> wa</w:t>
            </w:r>
            <w:r w:rsidR="00BB38DC">
              <w:rPr>
                <w:rFonts w:cstheme="minorHAnsi"/>
                <w:lang w:val="en-GB"/>
              </w:rPr>
              <w:t>s</w:t>
            </w:r>
            <w:r w:rsidRPr="00667334">
              <w:rPr>
                <w:rFonts w:cstheme="minorHAnsi"/>
                <w:lang w:val="en-GB"/>
              </w:rPr>
              <w:t xml:space="preserve"> set in the following way:</w:t>
            </w:r>
          </w:p>
          <w:p w14:paraId="4419F434" w14:textId="7BEC85DA" w:rsidR="00743815" w:rsidRPr="00667334" w:rsidRDefault="00743815" w:rsidP="00743815">
            <w:pPr>
              <w:jc w:val="both"/>
              <w:rPr>
                <w:rFonts w:cstheme="minorHAnsi"/>
                <w:lang w:val="en-GB"/>
              </w:rPr>
            </w:pPr>
            <w:r w:rsidRPr="00667334">
              <w:rPr>
                <w:rFonts w:cstheme="minorHAnsi"/>
                <w:lang w:val="en-GB"/>
              </w:rPr>
              <w:t xml:space="preserve">We used event cost expenditures declared to the EC from the 2014-2020 programming period as source of data to establish the </w:t>
            </w:r>
            <w:r w:rsidRPr="00CA7A10">
              <w:rPr>
                <w:rFonts w:cstheme="minorHAnsi"/>
                <w:i/>
                <w:lang w:val="en-GB"/>
              </w:rPr>
              <w:t>unit cost</w:t>
            </w:r>
            <w:r w:rsidR="00CA7A10" w:rsidRPr="00CA7A10">
              <w:rPr>
                <w:rFonts w:cstheme="minorHAnsi"/>
                <w:i/>
                <w:vertAlign w:val="superscript"/>
                <w:lang w:val="en-GB"/>
              </w:rPr>
              <w:t>*</w:t>
            </w:r>
            <w:r w:rsidRPr="00667334">
              <w:rPr>
                <w:rFonts w:cstheme="minorHAnsi"/>
                <w:lang w:val="en-GB"/>
              </w:rPr>
              <w:t xml:space="preserve"> per participant per daily event; the calculated </w:t>
            </w:r>
            <w:r w:rsidRPr="00CA7A10">
              <w:rPr>
                <w:rFonts w:cstheme="minorHAnsi"/>
                <w:i/>
                <w:lang w:val="en-GB"/>
              </w:rPr>
              <w:t>unit cost</w:t>
            </w:r>
            <w:r w:rsidRPr="00CA7A10">
              <w:rPr>
                <w:rFonts w:cstheme="minorHAnsi"/>
                <w:i/>
                <w:vertAlign w:val="superscript"/>
                <w:lang w:val="en-GB"/>
              </w:rPr>
              <w:t>*</w:t>
            </w:r>
            <w:r w:rsidRPr="00667334">
              <w:rPr>
                <w:rFonts w:cstheme="minorHAnsi"/>
                <w:lang w:val="en-GB"/>
              </w:rPr>
              <w:t xml:space="preserve"> was 45,00 EUR per participant per event per day</w:t>
            </w:r>
            <w:r w:rsidR="00BB38DC">
              <w:rPr>
                <w:rFonts w:cstheme="minorHAnsi"/>
                <w:lang w:val="en-GB"/>
              </w:rPr>
              <w:t xml:space="preserve"> </w:t>
            </w:r>
            <w:r w:rsidR="00BB38DC" w:rsidRPr="00667334">
              <w:rPr>
                <w:rFonts w:cstheme="minorHAnsi"/>
                <w:lang w:val="en-GB"/>
              </w:rPr>
              <w:t>(see Methodology I)</w:t>
            </w:r>
            <w:r w:rsidRPr="00667334">
              <w:rPr>
                <w:rFonts w:cstheme="minorHAnsi"/>
                <w:lang w:val="en-GB"/>
              </w:rPr>
              <w:t>.</w:t>
            </w:r>
          </w:p>
          <w:p w14:paraId="32BA4549" w14:textId="1ACCE025" w:rsidR="00743815" w:rsidRPr="00667334" w:rsidRDefault="00743815" w:rsidP="00743815">
            <w:pPr>
              <w:jc w:val="both"/>
              <w:rPr>
                <w:rFonts w:cstheme="minorHAnsi"/>
                <w:lang w:val="en-GB"/>
              </w:rPr>
            </w:pPr>
            <w:r w:rsidRPr="00667334">
              <w:rPr>
                <w:rFonts w:cstheme="minorHAnsi"/>
                <w:lang w:val="en-GB"/>
              </w:rPr>
              <w:t xml:space="preserve">Since open events are considered, the decision was made to set an estimation of 200 people joining the event, thus the </w:t>
            </w:r>
            <w:r w:rsidRPr="00667334">
              <w:rPr>
                <w:rFonts w:cstheme="minorHAnsi"/>
                <w:u w:val="single"/>
                <w:lang w:val="en-GB"/>
              </w:rPr>
              <w:t xml:space="preserve">proposed </w:t>
            </w:r>
            <w:r w:rsidRPr="00B4060B">
              <w:rPr>
                <w:rFonts w:cstheme="minorHAnsi"/>
                <w:i/>
                <w:u w:val="single"/>
                <w:lang w:val="en-GB"/>
              </w:rPr>
              <w:t>lump</w:t>
            </w:r>
            <w:r w:rsidRPr="00BB38DC">
              <w:rPr>
                <w:rFonts w:cstheme="minorHAnsi"/>
                <w:i/>
                <w:u w:val="single"/>
                <w:lang w:val="en-GB"/>
              </w:rPr>
              <w:t xml:space="preserve"> sum</w:t>
            </w:r>
            <w:r w:rsidRPr="00BB38DC">
              <w:rPr>
                <w:rFonts w:cstheme="minorHAnsi"/>
                <w:i/>
                <w:u w:val="single"/>
                <w:vertAlign w:val="superscript"/>
                <w:lang w:val="en-GB"/>
              </w:rPr>
              <w:t>*</w:t>
            </w:r>
            <w:r w:rsidRPr="00667334">
              <w:rPr>
                <w:rFonts w:cstheme="minorHAnsi"/>
                <w:u w:val="single"/>
                <w:lang w:val="en-GB"/>
              </w:rPr>
              <w:t xml:space="preserve"> </w:t>
            </w:r>
            <w:r w:rsidRPr="00667334">
              <w:rPr>
                <w:rFonts w:cstheme="minorHAnsi"/>
                <w:lang w:val="en-GB"/>
              </w:rPr>
              <w:t xml:space="preserve">per daily event </w:t>
            </w:r>
            <w:r w:rsidRPr="00667334">
              <w:rPr>
                <w:rFonts w:cstheme="minorHAnsi"/>
                <w:u w:val="single"/>
                <w:lang w:val="en-GB"/>
              </w:rPr>
              <w:t>was calculated to 9.000,00 EUR.</w:t>
            </w:r>
          </w:p>
          <w:p w14:paraId="2F00C58E" w14:textId="77777777" w:rsidR="00743815" w:rsidRPr="00667334" w:rsidRDefault="00743815" w:rsidP="00743815">
            <w:pPr>
              <w:jc w:val="both"/>
              <w:rPr>
                <w:rFonts w:cstheme="minorHAnsi"/>
                <w:lang w:val="en-GB"/>
              </w:rPr>
            </w:pPr>
          </w:p>
          <w:p w14:paraId="4BA7AFBA" w14:textId="38533584" w:rsidR="00743815" w:rsidRPr="00667334" w:rsidRDefault="00BB38DC" w:rsidP="00743815">
            <w:pPr>
              <w:pStyle w:val="Odstavekseznama"/>
              <w:numPr>
                <w:ilvl w:val="0"/>
                <w:numId w:val="8"/>
              </w:numPr>
              <w:jc w:val="both"/>
              <w:rPr>
                <w:lang w:val="en-GB"/>
              </w:rPr>
            </w:pPr>
            <w:r>
              <w:rPr>
                <w:lang w:val="en-GB"/>
              </w:rPr>
              <w:t xml:space="preserve">Possible </w:t>
            </w:r>
            <w:r w:rsidR="00743815" w:rsidRPr="00667334">
              <w:rPr>
                <w:u w:val="single"/>
                <w:lang w:val="en-GB"/>
              </w:rPr>
              <w:t>other</w:t>
            </w:r>
            <w:r w:rsidR="00743815" w:rsidRPr="00667334">
              <w:rPr>
                <w:lang w:val="en-GB"/>
              </w:rPr>
              <w:t xml:space="preserve"> </w:t>
            </w:r>
            <w:r w:rsidR="00743815" w:rsidRPr="00667334">
              <w:rPr>
                <w:u w:val="single"/>
                <w:lang w:val="en-GB"/>
              </w:rPr>
              <w:t>costs</w:t>
            </w:r>
            <w:r w:rsidR="00743815" w:rsidRPr="00667334">
              <w:rPr>
                <w:lang w:val="en-GB"/>
              </w:rPr>
              <w:t xml:space="preserve"> that were considered in the project size are: staff costs, administration costs, travel and accommodation costs, translation costs, external experts’ costs); they are summarized to approximately </w:t>
            </w:r>
            <w:r w:rsidR="00743815" w:rsidRPr="00667334">
              <w:rPr>
                <w:u w:val="single"/>
                <w:lang w:val="en-GB"/>
              </w:rPr>
              <w:t>40 % of the whole project budget</w:t>
            </w:r>
            <w:r w:rsidR="00743815" w:rsidRPr="00667334">
              <w:rPr>
                <w:lang w:val="en-GB"/>
              </w:rPr>
              <w:t>.</w:t>
            </w:r>
            <w:r w:rsidR="00743815" w:rsidRPr="00667334">
              <w:rPr>
                <w:rFonts w:eastAsiaTheme="minorEastAsia"/>
                <w:lang w:val="en-GB"/>
              </w:rPr>
              <w:t xml:space="preserve"> The justification of estimation of other costs is explained in the calculation below.</w:t>
            </w:r>
          </w:p>
          <w:p w14:paraId="7B0D55EC" w14:textId="77777777" w:rsidR="00743815" w:rsidRPr="00667334" w:rsidRDefault="00743815" w:rsidP="00743815">
            <w:pPr>
              <w:jc w:val="both"/>
              <w:rPr>
                <w:lang w:val="en-GB"/>
              </w:rPr>
            </w:pPr>
          </w:p>
          <w:p w14:paraId="49A63964" w14:textId="4D55E49F" w:rsidR="00743815" w:rsidRPr="00667334" w:rsidRDefault="00743815" w:rsidP="00743815">
            <w:pPr>
              <w:jc w:val="both"/>
              <w:rPr>
                <w:rFonts w:cstheme="minorHAnsi"/>
                <w:lang w:val="en-GB"/>
              </w:rPr>
            </w:pPr>
            <w:r w:rsidRPr="00667334">
              <w:rPr>
                <w:b/>
                <w:lang w:val="en-GB"/>
              </w:rPr>
              <w:t xml:space="preserve">CALCULATION OF </w:t>
            </w:r>
            <w:r w:rsidR="0051143D">
              <w:rPr>
                <w:b/>
                <w:lang w:val="en-GB"/>
              </w:rPr>
              <w:t xml:space="preserve">EVENT </w:t>
            </w:r>
            <w:r w:rsidRPr="00667334">
              <w:rPr>
                <w:b/>
                <w:lang w:val="en-GB"/>
              </w:rPr>
              <w:t>LUMP SUM</w:t>
            </w:r>
            <w:r w:rsidRPr="00667334">
              <w:rPr>
                <w:lang w:val="en-GB"/>
              </w:rPr>
              <w:t xml:space="preserve"> (</w:t>
            </w:r>
            <w:r w:rsidRPr="00667334">
              <w:rPr>
                <w:rFonts w:cstheme="minorHAnsi"/>
                <w:lang w:val="en-GB"/>
              </w:rPr>
              <w:t>project with 2 project partners; planning each one event):</w:t>
            </w:r>
          </w:p>
          <w:p w14:paraId="08F49882" w14:textId="77777777" w:rsidR="00743815" w:rsidRPr="00667334" w:rsidRDefault="00743815" w:rsidP="00743815">
            <w:pPr>
              <w:jc w:val="both"/>
              <w:rPr>
                <w:rFonts w:cstheme="minorHAnsi"/>
                <w:lang w:val="en-GB"/>
              </w:rPr>
            </w:pPr>
          </w:p>
          <w:p w14:paraId="2A8B6B46" w14:textId="78902E4A" w:rsidR="00743815" w:rsidRPr="00667334" w:rsidRDefault="00743815" w:rsidP="00743815">
            <w:pPr>
              <w:jc w:val="both"/>
              <w:rPr>
                <w:rFonts w:cstheme="minorHAnsi"/>
                <w:lang w:val="en-GB"/>
              </w:rPr>
            </w:pPr>
            <m:oMathPara>
              <m:oMathParaPr>
                <m:jc m:val="left"/>
              </m:oMathParaPr>
              <m:oMath>
                <m:r>
                  <m:rPr>
                    <m:sty m:val="p"/>
                  </m:rPr>
                  <w:rPr>
                    <w:rFonts w:ascii="Cambria Math" w:hAnsi="Cambria Math"/>
                    <w:lang w:val="en-GB"/>
                  </w:rPr>
                  <m:t>project size=preparation costs+</m:t>
                </m:r>
                <m:sSup>
                  <m:sSupPr>
                    <m:ctrlPr>
                      <w:rPr>
                        <w:rFonts w:ascii="Cambria Math" w:hAnsi="Cambria Math"/>
                        <w:lang w:val="en-GB"/>
                      </w:rPr>
                    </m:ctrlPr>
                  </m:sSupPr>
                  <m:e>
                    <m:r>
                      <m:rPr>
                        <m:sty m:val="p"/>
                      </m:rPr>
                      <w:rPr>
                        <w:rFonts w:ascii="Cambria Math" w:hAnsi="Cambria Math"/>
                        <w:lang w:val="en-GB"/>
                      </w:rPr>
                      <m:t>lump sum</m:t>
                    </m:r>
                  </m:e>
                  <m:sup>
                    <m:r>
                      <w:rPr>
                        <w:rFonts w:ascii="Cambria Math" w:hAnsi="Cambria Math"/>
                        <w:lang w:val="en-GB"/>
                      </w:rPr>
                      <m:t>*</m:t>
                    </m:r>
                  </m:sup>
                </m:sSup>
                <m:r>
                  <m:rPr>
                    <m:sty m:val="p"/>
                  </m:rPr>
                  <w:rPr>
                    <w:rFonts w:ascii="Cambria Math" w:hAnsi="Cambria Math"/>
                    <w:lang w:val="en-GB"/>
                  </w:rPr>
                  <m:t>×no. of events+other costs</m:t>
                </m:r>
              </m:oMath>
            </m:oMathPara>
          </w:p>
          <w:p w14:paraId="419F312C" w14:textId="77777777" w:rsidR="00743815" w:rsidRPr="00667334" w:rsidRDefault="00743815" w:rsidP="00743815">
            <w:pPr>
              <w:jc w:val="both"/>
              <w:rPr>
                <w:rFonts w:cstheme="minorHAnsi"/>
                <w:lang w:val="en-GB"/>
              </w:rPr>
            </w:pPr>
          </w:p>
          <w:p w14:paraId="132E4F89" w14:textId="77777777" w:rsidR="00743815" w:rsidRPr="00667334" w:rsidRDefault="00743815" w:rsidP="00743815">
            <w:pPr>
              <w:jc w:val="both"/>
              <w:rPr>
                <w:rFonts w:eastAsiaTheme="minorEastAsia" w:cstheme="minorHAnsi"/>
                <w:lang w:val="en-GB"/>
              </w:rPr>
            </w:pPr>
            <m:oMathPara>
              <m:oMathParaPr>
                <m:jc m:val="left"/>
              </m:oMathParaPr>
              <m:oMath>
                <m:r>
                  <m:rPr>
                    <m:sty m:val="p"/>
                  </m:rPr>
                  <w:rPr>
                    <w:rFonts w:ascii="Cambria Math" w:hAnsi="Cambria Math"/>
                    <w:lang w:val="en-GB"/>
                  </w:rPr>
                  <m:t>preparation costs=500,00 EUR</m:t>
                </m:r>
              </m:oMath>
            </m:oMathPara>
          </w:p>
          <w:p w14:paraId="628C2AF0" w14:textId="77777777" w:rsidR="00743815" w:rsidRPr="00667334" w:rsidRDefault="00743815" w:rsidP="00743815">
            <w:pPr>
              <w:jc w:val="both"/>
              <w:rPr>
                <w:rFonts w:eastAsiaTheme="minorEastAsia"/>
                <w:lang w:val="en-GB"/>
              </w:rPr>
            </w:pPr>
          </w:p>
          <w:p w14:paraId="3658193F" w14:textId="1954B301" w:rsidR="00743815" w:rsidRPr="00667334" w:rsidRDefault="00743815" w:rsidP="00743815">
            <w:pPr>
              <w:jc w:val="both"/>
              <w:rPr>
                <w:rFonts w:eastAsiaTheme="minorEastAsia"/>
                <w:lang w:val="en-GB"/>
              </w:rPr>
            </w:pPr>
            <m:oMathPara>
              <m:oMathParaPr>
                <m:jc m:val="left"/>
              </m:oMathParaPr>
              <m:oMath>
                <m:r>
                  <m:rPr>
                    <m:sty m:val="p"/>
                  </m:rPr>
                  <w:rPr>
                    <w:rFonts w:ascii="Cambria Math" w:hAnsi="Cambria Math"/>
                    <w:lang w:val="en-GB"/>
                  </w:rPr>
                  <m:t>project size=</m:t>
                </m:r>
                <m:f>
                  <m:fPr>
                    <m:ctrlPr>
                      <w:rPr>
                        <w:rFonts w:ascii="Cambria Math" w:hAnsi="Cambria Math"/>
                        <w:lang w:val="en-GB"/>
                      </w:rPr>
                    </m:ctrlPr>
                  </m:fPr>
                  <m:num>
                    <m:r>
                      <m:rPr>
                        <m:sty m:val="p"/>
                      </m:rPr>
                      <w:rPr>
                        <w:rFonts w:ascii="Cambria Math" w:hAnsi="Cambria Math"/>
                        <w:lang w:val="en-GB"/>
                      </w:rPr>
                      <m:t>500,00 EUR+9.000,00 EUR×2</m:t>
                    </m:r>
                  </m:num>
                  <m:den>
                    <m:r>
                      <m:rPr>
                        <m:sty m:val="p"/>
                      </m:rPr>
                      <w:rPr>
                        <w:rFonts w:ascii="Cambria Math" w:hAnsi="Cambria Math"/>
                        <w:lang w:val="en-GB"/>
                      </w:rPr>
                      <m:t>0,6</m:t>
                    </m:r>
                  </m:den>
                </m:f>
                <m:r>
                  <m:rPr>
                    <m:sty m:val="p"/>
                  </m:rPr>
                  <w:rPr>
                    <w:rFonts w:ascii="Cambria Math" w:hAnsi="Cambria Math"/>
                    <w:lang w:val="en-GB"/>
                  </w:rPr>
                  <m:t>=30.833,33 EUR</m:t>
                </m:r>
              </m:oMath>
            </m:oMathPara>
          </w:p>
          <w:p w14:paraId="6CCD5A7A" w14:textId="77777777" w:rsidR="00743815" w:rsidRPr="00667334" w:rsidRDefault="00743815" w:rsidP="00743815">
            <w:pPr>
              <w:jc w:val="both"/>
              <w:rPr>
                <w:lang w:val="en-GB"/>
              </w:rPr>
            </w:pPr>
          </w:p>
          <w:p w14:paraId="1D14FD4C" w14:textId="77777777" w:rsidR="00743815" w:rsidRPr="00667334" w:rsidRDefault="00743815" w:rsidP="00743815">
            <w:pPr>
              <w:jc w:val="both"/>
              <w:rPr>
                <w:rFonts w:eastAsiaTheme="minorEastAsia"/>
                <w:lang w:val="en-GB"/>
              </w:rPr>
            </w:pPr>
            <m:oMathPara>
              <m:oMathParaPr>
                <m:jc m:val="left"/>
              </m:oMathParaPr>
              <m:oMath>
                <m:r>
                  <m:rPr>
                    <m:sty m:val="p"/>
                  </m:rPr>
                  <w:rPr>
                    <w:rFonts w:ascii="Cambria Math" w:hAnsi="Cambria Math"/>
                    <w:lang w:val="en-GB"/>
                  </w:rPr>
                  <m:t>other costs=0,4×project size=12.333,33 EUR</m:t>
                </m:r>
              </m:oMath>
            </m:oMathPara>
          </w:p>
          <w:p w14:paraId="49461391" w14:textId="77777777" w:rsidR="00743815" w:rsidRPr="00667334" w:rsidRDefault="00743815" w:rsidP="00743815">
            <w:pPr>
              <w:jc w:val="both"/>
              <w:rPr>
                <w:rFonts w:eastAsiaTheme="minorEastAsia"/>
                <w:lang w:val="en-GB"/>
              </w:rPr>
            </w:pPr>
          </w:p>
          <w:p w14:paraId="20697C0B" w14:textId="3881229B" w:rsidR="00743815" w:rsidRPr="00667334" w:rsidRDefault="0051143D" w:rsidP="00743815">
            <w:pPr>
              <w:jc w:val="both"/>
              <w:rPr>
                <w:lang w:val="en-GB"/>
              </w:rPr>
            </w:pPr>
            <w:r>
              <w:rPr>
                <w:lang w:val="en-GB"/>
              </w:rPr>
              <w:t>For the programming period 2021-2027 t</w:t>
            </w:r>
            <w:r w:rsidR="00743815" w:rsidRPr="00667334">
              <w:rPr>
                <w:lang w:val="en-GB"/>
              </w:rPr>
              <w:t xml:space="preserve">he calculated </w:t>
            </w:r>
            <w:r w:rsidR="00743815" w:rsidRPr="007C4325">
              <w:rPr>
                <w:u w:val="single"/>
                <w:lang w:val="en-GB"/>
              </w:rPr>
              <w:t>lump sum</w:t>
            </w:r>
            <w:r w:rsidR="00743815" w:rsidRPr="00667334">
              <w:rPr>
                <w:lang w:val="en-GB"/>
              </w:rPr>
              <w:t xml:space="preserve"> per project with 2 event</w:t>
            </w:r>
            <w:r w:rsidR="00D756AE">
              <w:rPr>
                <w:lang w:val="en-GB"/>
              </w:rPr>
              <w:t>s</w:t>
            </w:r>
            <w:r w:rsidR="00743815" w:rsidRPr="00667334">
              <w:rPr>
                <w:lang w:val="en-GB"/>
              </w:rPr>
              <w:t xml:space="preserve"> was </w:t>
            </w:r>
            <w:r w:rsidR="00743815" w:rsidRPr="001D264C">
              <w:rPr>
                <w:lang w:val="en-GB"/>
              </w:rPr>
              <w:t>rounded to 31.250,00 EUR which was also set as the limit value for small scale projects by the programme:</w:t>
            </w:r>
            <w:r w:rsidR="00743815" w:rsidRPr="00667334">
              <w:rPr>
                <w:lang w:val="en-GB"/>
              </w:rPr>
              <w:t xml:space="preserve"> </w:t>
            </w:r>
          </w:p>
          <w:p w14:paraId="09C867B9" w14:textId="77777777" w:rsidR="00743815" w:rsidRPr="00667334" w:rsidRDefault="00743815" w:rsidP="00743815">
            <w:pPr>
              <w:jc w:val="both"/>
              <w:rPr>
                <w:lang w:val="en-GB"/>
              </w:rPr>
            </w:pPr>
          </w:p>
          <w:p w14:paraId="683FE0BF" w14:textId="10F80773" w:rsidR="00743815" w:rsidRPr="00667334" w:rsidRDefault="00B4060B" w:rsidP="00743815">
            <w:pPr>
              <w:jc w:val="both"/>
              <w:rPr>
                <w:rFonts w:eastAsiaTheme="minorEastAsia"/>
                <w:b/>
                <w:lang w:val="en-GB"/>
              </w:rPr>
            </w:pPr>
            <m:oMathPara>
              <m:oMath>
                <m:r>
                  <m:rPr>
                    <m:sty m:val="b"/>
                  </m:rPr>
                  <w:rPr>
                    <w:rFonts w:ascii="Cambria Math" w:hAnsi="Cambria Math"/>
                    <w:lang w:val="en-GB"/>
                  </w:rPr>
                  <m:t>EVENT LUMP SUM=31.250,00 EUR</m:t>
                </m:r>
              </m:oMath>
            </m:oMathPara>
          </w:p>
          <w:p w14:paraId="759DF698" w14:textId="5FBB267B" w:rsidR="00743815" w:rsidRPr="00667334" w:rsidRDefault="00743815" w:rsidP="00743815">
            <w:pPr>
              <w:jc w:val="both"/>
              <w:rPr>
                <w:rFonts w:eastAsiaTheme="minorEastAsia"/>
                <w:lang w:val="en-GB"/>
              </w:rPr>
            </w:pPr>
          </w:p>
          <w:p w14:paraId="480A250C" w14:textId="4B4F0BC7" w:rsidR="00743815" w:rsidRDefault="00743815" w:rsidP="00743815">
            <w:pPr>
              <w:jc w:val="both"/>
              <w:rPr>
                <w:rFonts w:cstheme="minorHAnsi"/>
                <w:lang w:val="en-GB"/>
              </w:rPr>
            </w:pPr>
            <w:r w:rsidRPr="00667334">
              <w:rPr>
                <w:rFonts w:eastAsiaTheme="minorEastAsia"/>
                <w:lang w:val="en-GB"/>
              </w:rPr>
              <w:t xml:space="preserve">From the calculation and final set size of the project Type II we can see that 12.750,00 EUR is for covering other costs. This amount is divided to 2 partners (each 6.375,00 EUR). </w:t>
            </w:r>
            <w:r w:rsidR="00CA7A10" w:rsidRPr="00667334">
              <w:rPr>
                <w:rFonts w:eastAsiaTheme="minorEastAsia"/>
                <w:lang w:val="en-GB"/>
              </w:rPr>
              <w:t>Translation cost of documents stand at 20,00-30</w:t>
            </w:r>
            <w:r w:rsidR="00CA7A10" w:rsidRPr="00667334">
              <w:rPr>
                <w:rFonts w:eastAsiaTheme="minorEastAsia" w:cstheme="minorHAnsi"/>
                <w:lang w:val="en-GB"/>
              </w:rPr>
              <w:t xml:space="preserve">,00 EUR per page, and the interpretation costs (simultaneous, consecutive) are 110,00-140,00 EUR per hour. Since we made the length of </w:t>
            </w:r>
            <w:r w:rsidR="000E6E45">
              <w:rPr>
                <w:rFonts w:eastAsiaTheme="minorEastAsia" w:cstheme="minorHAnsi"/>
                <w:lang w:val="en-GB"/>
              </w:rPr>
              <w:t>each</w:t>
            </w:r>
            <w:r w:rsidR="00CA7A10" w:rsidRPr="00667334">
              <w:rPr>
                <w:rFonts w:eastAsiaTheme="minorEastAsia" w:cstheme="minorHAnsi"/>
                <w:lang w:val="en-GB"/>
              </w:rPr>
              <w:t xml:space="preserve"> event obligatory to at least 4 hrs, the estimation of 500,00 EUR translation costs per event is reasonable. </w:t>
            </w:r>
            <w:r w:rsidR="00BB38DC" w:rsidRPr="00667334">
              <w:rPr>
                <w:rFonts w:eastAsiaTheme="minorEastAsia" w:cstheme="minorHAnsi"/>
                <w:lang w:val="en-GB"/>
              </w:rPr>
              <w:t>With average monthly gross earnings in August (according to Statistical office of Republic of Slovenia)</w:t>
            </w:r>
            <w:r w:rsidR="00BB38DC">
              <w:rPr>
                <w:rFonts w:eastAsiaTheme="minorEastAsia" w:cstheme="minorHAnsi"/>
                <w:lang w:val="en-GB"/>
              </w:rPr>
              <w:t xml:space="preserve"> the</w:t>
            </w:r>
            <w:r w:rsidR="00BB38DC" w:rsidRPr="00667334">
              <w:rPr>
                <w:rFonts w:eastAsiaTheme="minorEastAsia" w:cstheme="minorHAnsi"/>
                <w:lang w:val="en-GB"/>
              </w:rPr>
              <w:t xml:space="preserve"> amount of 1.000,00 EUR means about </w:t>
            </w:r>
            <w:r w:rsidR="00BB38DC">
              <w:rPr>
                <w:rFonts w:eastAsiaTheme="minorEastAsia" w:cstheme="minorHAnsi"/>
                <w:lang w:val="en-GB"/>
              </w:rPr>
              <w:t>10</w:t>
            </w:r>
            <w:r w:rsidR="00BB38DC" w:rsidRPr="00667334">
              <w:rPr>
                <w:rFonts w:eastAsiaTheme="minorEastAsia" w:cstheme="minorHAnsi"/>
                <w:lang w:val="en-GB"/>
              </w:rPr>
              <w:t xml:space="preserve"> working days that are available for each partner’s staff to prepare and implement the event, and report afterwards.</w:t>
            </w:r>
            <w:r w:rsidR="00BB38DC">
              <w:rPr>
                <w:rFonts w:eastAsiaTheme="minorEastAsia" w:cstheme="minorHAnsi"/>
                <w:lang w:val="en-GB"/>
              </w:rPr>
              <w:t xml:space="preserve"> </w:t>
            </w:r>
            <w:r w:rsidR="00CA7A10" w:rsidRPr="00667334">
              <w:rPr>
                <w:rFonts w:eastAsiaTheme="minorEastAsia"/>
                <w:lang w:val="en-GB"/>
              </w:rPr>
              <w:t>15 % represent admi</w:t>
            </w:r>
            <w:r w:rsidR="00CA7A10">
              <w:rPr>
                <w:rFonts w:eastAsiaTheme="minorEastAsia"/>
                <w:lang w:val="en-GB"/>
              </w:rPr>
              <w:t>nistration costs (150,00</w:t>
            </w:r>
            <w:r w:rsidR="00CA7A10" w:rsidRPr="00667334">
              <w:rPr>
                <w:rFonts w:eastAsiaTheme="minorEastAsia"/>
                <w:lang w:val="en-GB"/>
              </w:rPr>
              <w:t xml:space="preserve"> EUR). </w:t>
            </w:r>
            <w:r w:rsidRPr="00667334">
              <w:rPr>
                <w:rFonts w:eastAsiaTheme="minorEastAsia" w:cstheme="minorHAnsi"/>
                <w:lang w:val="en-GB"/>
              </w:rPr>
              <w:t xml:space="preserve">Withdrawing all mentioned from 6.375,00EUR per partner </w:t>
            </w:r>
            <w:r w:rsidR="00BB38DC">
              <w:rPr>
                <w:rFonts w:eastAsiaTheme="minorEastAsia" w:cstheme="minorHAnsi"/>
                <w:lang w:val="en-GB"/>
              </w:rPr>
              <w:t xml:space="preserve">about </w:t>
            </w:r>
            <w:r w:rsidR="00CA7A10">
              <w:rPr>
                <w:rFonts w:eastAsiaTheme="minorEastAsia" w:cstheme="minorHAnsi"/>
                <w:lang w:val="en-GB"/>
              </w:rPr>
              <w:t>4.725,00</w:t>
            </w:r>
            <w:r w:rsidRPr="00667334">
              <w:rPr>
                <w:rFonts w:eastAsiaTheme="minorEastAsia" w:cstheme="minorHAnsi"/>
                <w:lang w:val="en-GB"/>
              </w:rPr>
              <w:t xml:space="preserve"> EUR remains for traveling costs and costs for external experts (</w:t>
            </w:r>
            <w:r w:rsidRPr="00667334">
              <w:rPr>
                <w:rFonts w:cstheme="minorHAnsi"/>
                <w:lang w:val="en-GB"/>
              </w:rPr>
              <w:t xml:space="preserve">in the case of a cultural event </w:t>
            </w:r>
            <w:r w:rsidR="00BB38DC">
              <w:rPr>
                <w:rFonts w:cstheme="minorHAnsi"/>
                <w:lang w:val="en-GB"/>
              </w:rPr>
              <w:t xml:space="preserve">for </w:t>
            </w:r>
            <w:r w:rsidRPr="00667334">
              <w:rPr>
                <w:rFonts w:cstheme="minorHAnsi"/>
                <w:lang w:val="en-GB"/>
              </w:rPr>
              <w:t xml:space="preserve">providers; in the case of a market/fair </w:t>
            </w:r>
            <w:r w:rsidR="00BB38DC">
              <w:rPr>
                <w:rFonts w:cstheme="minorHAnsi"/>
                <w:lang w:val="en-GB"/>
              </w:rPr>
              <w:t xml:space="preserve">for </w:t>
            </w:r>
            <w:r w:rsidRPr="00667334">
              <w:rPr>
                <w:rFonts w:cstheme="minorHAnsi"/>
                <w:lang w:val="en-GB"/>
              </w:rPr>
              <w:t>suppliers of goods and/or services, payments of articles, photographers</w:t>
            </w:r>
            <w:r w:rsidR="00BB38DC">
              <w:rPr>
                <w:rFonts w:cstheme="minorHAnsi"/>
                <w:lang w:val="en-GB"/>
              </w:rPr>
              <w:t>,</w:t>
            </w:r>
            <w:r w:rsidRPr="00667334">
              <w:rPr>
                <w:rFonts w:cstheme="minorHAnsi"/>
                <w:lang w:val="en-GB"/>
              </w:rPr>
              <w:t xml:space="preserve"> </w:t>
            </w:r>
            <w:r w:rsidR="00CA7A10">
              <w:rPr>
                <w:rFonts w:cstheme="minorHAnsi"/>
                <w:lang w:val="en-GB"/>
              </w:rPr>
              <w:t xml:space="preserve">security at the event </w:t>
            </w:r>
            <w:r w:rsidRPr="00667334">
              <w:rPr>
                <w:rFonts w:cstheme="minorHAnsi"/>
                <w:lang w:val="en-GB"/>
              </w:rPr>
              <w:t>and other).</w:t>
            </w:r>
          </w:p>
          <w:p w14:paraId="771EA155" w14:textId="77777777" w:rsidR="00D01D87" w:rsidRDefault="00D01D87" w:rsidP="00743815">
            <w:pPr>
              <w:rPr>
                <w:b/>
                <w:lang w:val="en-GB"/>
              </w:rPr>
            </w:pPr>
          </w:p>
          <w:p w14:paraId="43A658F5" w14:textId="6A7DCC97" w:rsidR="00743815" w:rsidRDefault="00743815" w:rsidP="00743815">
            <w:pPr>
              <w:rPr>
                <w:b/>
                <w:lang w:val="en-GB"/>
              </w:rPr>
            </w:pPr>
            <w:r>
              <w:rPr>
                <w:b/>
                <w:lang w:val="en-GB"/>
              </w:rPr>
              <w:br w:type="page"/>
            </w:r>
          </w:p>
          <w:p w14:paraId="1097FC63" w14:textId="77777777" w:rsidR="00EF1341" w:rsidRDefault="00EF1341" w:rsidP="00743815">
            <w:pPr>
              <w:jc w:val="both"/>
              <w:rPr>
                <w:b/>
                <w:color w:val="FF0000"/>
                <w:lang w:val="en-GB"/>
              </w:rPr>
            </w:pPr>
          </w:p>
          <w:p w14:paraId="5FAF997A" w14:textId="57DE921B" w:rsidR="00743815" w:rsidRPr="00EF1341" w:rsidRDefault="00743815" w:rsidP="00743815">
            <w:pPr>
              <w:jc w:val="both"/>
              <w:rPr>
                <w:b/>
                <w:lang w:val="en-GB"/>
              </w:rPr>
            </w:pPr>
            <w:r w:rsidRPr="00EF1341">
              <w:rPr>
                <w:b/>
                <w:lang w:val="en-GB"/>
              </w:rPr>
              <w:t>Methodology III</w:t>
            </w:r>
          </w:p>
          <w:p w14:paraId="6E9FBB6D" w14:textId="77777777" w:rsidR="00743815" w:rsidRPr="00667334" w:rsidRDefault="00743815" w:rsidP="00743815">
            <w:pPr>
              <w:jc w:val="both"/>
              <w:rPr>
                <w:b/>
                <w:lang w:val="en-GB"/>
              </w:rPr>
            </w:pPr>
            <w:r w:rsidRPr="00667334">
              <w:rPr>
                <w:b/>
                <w:lang w:val="en-GB"/>
              </w:rPr>
              <w:t>Type II</w:t>
            </w:r>
            <w:r>
              <w:rPr>
                <w:b/>
                <w:lang w:val="en-GB"/>
              </w:rPr>
              <w:t>I</w:t>
            </w:r>
            <w:r w:rsidRPr="00667334">
              <w:rPr>
                <w:b/>
                <w:lang w:val="en-GB"/>
              </w:rPr>
              <w:t xml:space="preserve"> – </w:t>
            </w:r>
            <w:r w:rsidRPr="00737DA5">
              <w:rPr>
                <w:rFonts w:cstheme="minorHAnsi"/>
                <w:b/>
                <w:lang w:val="en-GB"/>
              </w:rPr>
              <w:t>Employee exchange projects based on lump sum</w:t>
            </w:r>
          </w:p>
          <w:p w14:paraId="00E64A33" w14:textId="77777777" w:rsidR="00743815" w:rsidRPr="00667334" w:rsidRDefault="00743815" w:rsidP="00743815">
            <w:pPr>
              <w:jc w:val="both"/>
              <w:rPr>
                <w:rFonts w:eastAsiaTheme="minorEastAsia"/>
                <w:b/>
                <w:lang w:val="en-GB"/>
              </w:rPr>
            </w:pPr>
          </w:p>
          <w:p w14:paraId="4265E9B7" w14:textId="3111F88C" w:rsidR="00EF1341" w:rsidRPr="00667334" w:rsidRDefault="00EF1341" w:rsidP="00743815">
            <w:pPr>
              <w:jc w:val="both"/>
              <w:rPr>
                <w:rFonts w:cstheme="minorHAnsi"/>
                <w:lang w:val="en-GB"/>
              </w:rPr>
            </w:pPr>
            <w:r>
              <w:rPr>
                <w:lang w:val="en-GB"/>
              </w:rPr>
              <w:t>For the calculation of the</w:t>
            </w:r>
            <w:r w:rsidRPr="00667334">
              <w:rPr>
                <w:lang w:val="en-GB"/>
              </w:rPr>
              <w:t xml:space="preserve"> amount per unit of measurement (lump sum for </w:t>
            </w:r>
            <w:r w:rsidRPr="0047004E">
              <w:rPr>
                <w:lang w:val="en-GB"/>
              </w:rPr>
              <w:t>employee exchange</w:t>
            </w:r>
            <w:r w:rsidRPr="00667334">
              <w:rPr>
                <w:lang w:val="en-GB"/>
              </w:rPr>
              <w:t xml:space="preserve">) </w:t>
            </w:r>
            <w:r>
              <w:rPr>
                <w:lang w:val="en-GB"/>
              </w:rPr>
              <w:t xml:space="preserve">employee exchange </w:t>
            </w:r>
            <w:r w:rsidRPr="00E075EB">
              <w:rPr>
                <w:rFonts w:cstheme="minorHAnsi"/>
                <w:lang w:val="en-GB"/>
              </w:rPr>
              <w:t xml:space="preserve">for </w:t>
            </w:r>
            <w:r>
              <w:rPr>
                <w:rFonts w:cstheme="minorHAnsi"/>
                <w:lang w:val="en-GB"/>
              </w:rPr>
              <w:t xml:space="preserve">1 person for </w:t>
            </w:r>
            <w:r w:rsidRPr="00E075EB">
              <w:rPr>
                <w:rFonts w:cstheme="minorHAnsi"/>
                <w:lang w:val="en-GB"/>
              </w:rPr>
              <w:t>a period of 1 year (or 2 people for the period of 6 months), enabling him/her a full-time employment for the</w:t>
            </w:r>
            <w:r>
              <w:rPr>
                <w:rFonts w:cstheme="minorHAnsi"/>
                <w:lang w:val="en-GB"/>
              </w:rPr>
              <w:t xml:space="preserve"> whole time of project duration </w:t>
            </w:r>
            <w:r w:rsidR="00E24C93">
              <w:rPr>
                <w:rFonts w:cstheme="minorHAnsi"/>
                <w:lang w:val="en-GB"/>
              </w:rPr>
              <w:t>is required</w:t>
            </w:r>
            <w:r>
              <w:rPr>
                <w:rFonts w:cstheme="minorHAnsi"/>
                <w:lang w:val="en-GB"/>
              </w:rPr>
              <w:t>.</w:t>
            </w:r>
          </w:p>
          <w:p w14:paraId="6D20BF98" w14:textId="77777777" w:rsidR="00743815" w:rsidRPr="00667334" w:rsidRDefault="00743815" w:rsidP="00743815">
            <w:pPr>
              <w:jc w:val="both"/>
              <w:rPr>
                <w:rFonts w:cstheme="minorHAnsi"/>
                <w:lang w:val="en-GB"/>
              </w:rPr>
            </w:pPr>
          </w:p>
          <w:p w14:paraId="65FE7819" w14:textId="0CB53B52" w:rsidR="00EF1341" w:rsidRPr="00EF1341" w:rsidRDefault="00EF1341" w:rsidP="00EF1341">
            <w:pPr>
              <w:pStyle w:val="Odstavekseznama"/>
              <w:numPr>
                <w:ilvl w:val="0"/>
                <w:numId w:val="9"/>
              </w:numPr>
              <w:jc w:val="both"/>
              <w:rPr>
                <w:rFonts w:cstheme="minorHAnsi"/>
                <w:lang w:val="en-GB"/>
              </w:rPr>
            </w:pPr>
            <w:r w:rsidRPr="00EF1341">
              <w:rPr>
                <w:rFonts w:cstheme="minorHAnsi"/>
                <w:b/>
                <w:u w:val="single"/>
                <w:lang w:val="en-GB"/>
              </w:rPr>
              <w:t>The preparation costs</w:t>
            </w:r>
            <w:r w:rsidRPr="00EF1341">
              <w:rPr>
                <w:rFonts w:cstheme="minorHAnsi"/>
                <w:lang w:val="en-GB"/>
              </w:rPr>
              <w:t xml:space="preserve"> are estimated to </w:t>
            </w:r>
            <w:r w:rsidRPr="00EF1341">
              <w:rPr>
                <w:rFonts w:cstheme="minorHAnsi"/>
                <w:b/>
                <w:u w:val="single"/>
                <w:lang w:val="en-GB"/>
              </w:rPr>
              <w:t>500,00 EUR</w:t>
            </w:r>
            <w:r w:rsidRPr="00EF1341">
              <w:rPr>
                <w:rFonts w:cstheme="minorHAnsi"/>
                <w:lang w:val="en-GB"/>
              </w:rPr>
              <w:t xml:space="preserve"> using the same methodology as for type I projects</w:t>
            </w:r>
          </w:p>
          <w:p w14:paraId="1EDB0442" w14:textId="77777777" w:rsidR="00743815" w:rsidRDefault="00743815" w:rsidP="00743815">
            <w:pPr>
              <w:jc w:val="both"/>
              <w:rPr>
                <w:lang w:val="en-GB"/>
              </w:rPr>
            </w:pPr>
          </w:p>
          <w:p w14:paraId="533F2CCB" w14:textId="02257C27" w:rsidR="00743815" w:rsidRDefault="0051143D" w:rsidP="00743815">
            <w:pPr>
              <w:jc w:val="both"/>
              <w:rPr>
                <w:rFonts w:eastAsiaTheme="minorEastAsia"/>
                <w:lang w:val="en-GB"/>
              </w:rPr>
            </w:pPr>
            <w:r>
              <w:rPr>
                <w:lang w:val="en-GB"/>
              </w:rPr>
              <w:t>For the programming period 2021-2027 t</w:t>
            </w:r>
            <w:r w:rsidR="00743815" w:rsidRPr="00E075EB">
              <w:rPr>
                <w:lang w:val="en-GB"/>
              </w:rPr>
              <w:t xml:space="preserve">he lump sum per project with </w:t>
            </w:r>
            <w:r>
              <w:rPr>
                <w:lang w:val="en-GB"/>
              </w:rPr>
              <w:t>either e</w:t>
            </w:r>
            <w:r w:rsidRPr="00977E7D">
              <w:rPr>
                <w:lang w:val="en-GB"/>
              </w:rPr>
              <w:t>mployment of 1 person for 1 year</w:t>
            </w:r>
            <w:r>
              <w:rPr>
                <w:lang w:val="en-GB"/>
              </w:rPr>
              <w:t xml:space="preserve">, or employment of </w:t>
            </w:r>
            <w:r w:rsidRPr="00977E7D">
              <w:rPr>
                <w:lang w:val="en-GB"/>
              </w:rPr>
              <w:t xml:space="preserve">2 persons for half a year </w:t>
            </w:r>
            <w:r w:rsidR="00743815" w:rsidRPr="00E075EB">
              <w:rPr>
                <w:lang w:val="en-GB"/>
              </w:rPr>
              <w:t>was set to 31.250,00 EUR (25.000,00 EUR ERDF) which was also set as the limit value for small scale projects by the programme. The</w:t>
            </w:r>
            <w:r w:rsidR="00743815" w:rsidRPr="00E075EB">
              <w:rPr>
                <w:rFonts w:eastAsiaTheme="minorEastAsia"/>
                <w:lang w:val="en-GB"/>
              </w:rPr>
              <w:t xml:space="preserve"> justification of estimation of other costs is explained in the calculation below.</w:t>
            </w:r>
          </w:p>
          <w:p w14:paraId="39A65943" w14:textId="77777777" w:rsidR="00743815" w:rsidRPr="00E075EB" w:rsidRDefault="00743815" w:rsidP="00743815">
            <w:pPr>
              <w:jc w:val="both"/>
              <w:rPr>
                <w:lang w:val="en-GB"/>
              </w:rPr>
            </w:pPr>
          </w:p>
          <w:p w14:paraId="3DBB404C" w14:textId="7B714DF5" w:rsidR="00743815" w:rsidRPr="00E075EB" w:rsidRDefault="00B4060B" w:rsidP="00743815">
            <w:pPr>
              <w:jc w:val="both"/>
              <w:rPr>
                <w:rFonts w:eastAsiaTheme="minorEastAsia"/>
                <w:b/>
                <w:lang w:val="en-GB"/>
              </w:rPr>
            </w:pPr>
            <m:oMathPara>
              <m:oMath>
                <m:r>
                  <m:rPr>
                    <m:sty m:val="b"/>
                  </m:rPr>
                  <w:rPr>
                    <w:rFonts w:ascii="Cambria Math" w:hAnsi="Cambria Math"/>
                    <w:lang w:val="en-GB"/>
                  </w:rPr>
                  <m:t>EVENT LUMP SUM=31.250,00 EUR</m:t>
                </m:r>
              </m:oMath>
            </m:oMathPara>
          </w:p>
          <w:p w14:paraId="539E7F19" w14:textId="77777777" w:rsidR="00743815" w:rsidRDefault="00743815" w:rsidP="00743815">
            <w:pPr>
              <w:pStyle w:val="Odstavekseznama"/>
              <w:ind w:left="360"/>
              <w:jc w:val="both"/>
              <w:rPr>
                <w:rFonts w:cstheme="minorHAnsi"/>
                <w:lang w:val="en-GB"/>
              </w:rPr>
            </w:pPr>
          </w:p>
          <w:p w14:paraId="027EB39C" w14:textId="77777777" w:rsidR="00743815" w:rsidRPr="00E075EB" w:rsidRDefault="00743815" w:rsidP="00743815">
            <w:pPr>
              <w:jc w:val="both"/>
              <w:rPr>
                <w:rFonts w:cstheme="minorHAnsi"/>
                <w:lang w:val="en-GB"/>
              </w:rPr>
            </w:pPr>
            <w:r w:rsidRPr="00E075EB">
              <w:rPr>
                <w:b/>
                <w:lang w:val="en-GB"/>
              </w:rPr>
              <w:t>CALCULATION OF LUMP SUM</w:t>
            </w:r>
            <w:r w:rsidRPr="00E075EB">
              <w:rPr>
                <w:rFonts w:cstheme="minorHAnsi"/>
                <w:lang w:val="en-GB"/>
              </w:rPr>
              <w:t>:</w:t>
            </w:r>
          </w:p>
          <w:p w14:paraId="51BD0CC3" w14:textId="77777777" w:rsidR="00743815" w:rsidRPr="00E075EB" w:rsidRDefault="00743815" w:rsidP="00743815">
            <w:pPr>
              <w:jc w:val="both"/>
              <w:rPr>
                <w:rFonts w:cstheme="minorHAnsi"/>
                <w:lang w:val="en-GB"/>
              </w:rPr>
            </w:pPr>
          </w:p>
          <w:p w14:paraId="5C9F6B4F" w14:textId="77777777" w:rsidR="00743815" w:rsidRPr="002F4A87" w:rsidRDefault="00743815" w:rsidP="00743815">
            <w:pPr>
              <w:jc w:val="both"/>
              <w:rPr>
                <w:rFonts w:eastAsiaTheme="minorEastAsia" w:cstheme="minorHAnsi"/>
                <w:lang w:val="en-GB"/>
              </w:rPr>
            </w:pPr>
            <m:oMathPara>
              <m:oMathParaPr>
                <m:jc m:val="left"/>
              </m:oMathParaPr>
              <m:oMath>
                <m:r>
                  <m:rPr>
                    <m:sty m:val="p"/>
                  </m:rPr>
                  <w:rPr>
                    <w:rFonts w:ascii="Cambria Math" w:hAnsi="Cambria Math"/>
                    <w:lang w:val="en-GB"/>
                  </w:rPr>
                  <m:t>project size=preparation costs+other costs</m:t>
                </m:r>
              </m:oMath>
            </m:oMathPara>
          </w:p>
          <w:p w14:paraId="6AE497B4" w14:textId="77777777" w:rsidR="00743815" w:rsidRPr="002F4A87" w:rsidRDefault="00743815" w:rsidP="00743815">
            <w:pPr>
              <w:jc w:val="both"/>
              <w:rPr>
                <w:rFonts w:cstheme="minorHAnsi"/>
                <w:lang w:val="en-GB"/>
              </w:rPr>
            </w:pPr>
            <m:oMathPara>
              <m:oMathParaPr>
                <m:jc m:val="left"/>
              </m:oMathParaPr>
              <m:oMath>
                <m:r>
                  <m:rPr>
                    <m:sty m:val="p"/>
                  </m:rPr>
                  <w:rPr>
                    <w:rFonts w:ascii="Cambria Math" w:hAnsi="Cambria Math"/>
                    <w:lang w:val="en-GB"/>
                  </w:rPr>
                  <m:t>project size=500,00 EUR+30.750,00 EUR=31.250,00 EUR</m:t>
                </m:r>
              </m:oMath>
            </m:oMathPara>
          </w:p>
          <w:p w14:paraId="5E9CC4B5" w14:textId="77777777" w:rsidR="00743815" w:rsidRPr="00E075EB" w:rsidRDefault="00743815" w:rsidP="00743815">
            <w:pPr>
              <w:pStyle w:val="Odstavekseznama"/>
              <w:ind w:left="360"/>
              <w:jc w:val="both"/>
              <w:rPr>
                <w:rFonts w:cstheme="minorHAnsi"/>
                <w:lang w:val="en-GB"/>
              </w:rPr>
            </w:pPr>
          </w:p>
          <w:p w14:paraId="3F333862" w14:textId="77777777" w:rsidR="00743815" w:rsidRPr="00E075EB" w:rsidRDefault="00743815" w:rsidP="00743815">
            <w:pPr>
              <w:pStyle w:val="Odstavekseznama"/>
              <w:numPr>
                <w:ilvl w:val="0"/>
                <w:numId w:val="9"/>
              </w:numPr>
              <w:jc w:val="both"/>
              <w:rPr>
                <w:lang w:val="en-GB"/>
              </w:rPr>
            </w:pPr>
            <w:r w:rsidRPr="00966630">
              <w:rPr>
                <w:lang w:val="en-GB"/>
              </w:rPr>
              <w:t>Remaining (other) costs that</w:t>
            </w:r>
            <w:r w:rsidRPr="00E075EB">
              <w:rPr>
                <w:lang w:val="en-GB"/>
              </w:rPr>
              <w:t xml:space="preserve"> were considered in the project size are staff costs</w:t>
            </w:r>
            <w:r>
              <w:rPr>
                <w:lang w:val="en-GB"/>
              </w:rPr>
              <w:t xml:space="preserve"> and</w:t>
            </w:r>
            <w:r w:rsidRPr="00E075EB">
              <w:rPr>
                <w:lang w:val="en-GB"/>
              </w:rPr>
              <w:t xml:space="preserve"> administration costs.</w:t>
            </w:r>
          </w:p>
          <w:p w14:paraId="2B06DF45" w14:textId="77777777" w:rsidR="00743815" w:rsidRPr="00E075EB" w:rsidRDefault="00743815" w:rsidP="00743815">
            <w:pPr>
              <w:ind w:left="708"/>
              <w:jc w:val="both"/>
              <w:rPr>
                <w:lang w:val="en-GB"/>
              </w:rPr>
            </w:pPr>
          </w:p>
          <w:p w14:paraId="41B02179" w14:textId="7F1A0E24" w:rsidR="00743815" w:rsidRDefault="00743815" w:rsidP="00743815">
            <w:pPr>
              <w:jc w:val="both"/>
              <w:rPr>
                <w:rFonts w:eastAsiaTheme="minorEastAsia"/>
                <w:lang w:val="en-GB"/>
              </w:rPr>
            </w:pPr>
            <w:r w:rsidRPr="00E075EB">
              <w:rPr>
                <w:rFonts w:eastAsiaTheme="minorEastAsia"/>
                <w:lang w:val="en-GB"/>
              </w:rPr>
              <w:t>Fr</w:t>
            </w:r>
            <w:r w:rsidR="00EF1341">
              <w:rPr>
                <w:rFonts w:eastAsiaTheme="minorEastAsia"/>
                <w:lang w:val="en-GB"/>
              </w:rPr>
              <w:t>om the calculation and proposed</w:t>
            </w:r>
            <w:r w:rsidRPr="00E075EB">
              <w:rPr>
                <w:rFonts w:eastAsiaTheme="minorEastAsia"/>
                <w:lang w:val="en-GB"/>
              </w:rPr>
              <w:t xml:space="preserve"> size of the project Type III it can be seen that 30.750,00 EUR is </w:t>
            </w:r>
            <w:r>
              <w:rPr>
                <w:rFonts w:eastAsiaTheme="minorEastAsia"/>
                <w:lang w:val="en-GB"/>
              </w:rPr>
              <w:t xml:space="preserve">primarily </w:t>
            </w:r>
            <w:r w:rsidRPr="00E075EB">
              <w:rPr>
                <w:rFonts w:eastAsiaTheme="minorEastAsia"/>
                <w:lang w:val="en-GB"/>
              </w:rPr>
              <w:t xml:space="preserve">for covering </w:t>
            </w:r>
            <w:r w:rsidRPr="00DC35BE">
              <w:rPr>
                <w:rFonts w:eastAsiaTheme="minorEastAsia"/>
                <w:lang w:val="en-GB"/>
              </w:rPr>
              <w:t xml:space="preserve">the </w:t>
            </w:r>
            <w:r>
              <w:rPr>
                <w:rFonts w:eastAsiaTheme="minorEastAsia"/>
                <w:lang w:val="en-GB"/>
              </w:rPr>
              <w:t>gross salary costs (</w:t>
            </w:r>
            <w:r w:rsidRPr="00DC35BE">
              <w:rPr>
                <w:rFonts w:eastAsiaTheme="minorEastAsia"/>
                <w:lang w:val="en-GB"/>
              </w:rPr>
              <w:t>cost</w:t>
            </w:r>
            <w:r>
              <w:rPr>
                <w:rFonts w:eastAsiaTheme="minorEastAsia"/>
                <w:lang w:val="en-GB"/>
              </w:rPr>
              <w:t>s</w:t>
            </w:r>
            <w:r w:rsidRPr="00DC35BE">
              <w:rPr>
                <w:rFonts w:eastAsiaTheme="minorEastAsia"/>
                <w:lang w:val="en-GB"/>
              </w:rPr>
              <w:t xml:space="preserve"> of salary for the employee, together with contributions in the calculation of salary paid by the employer instead of employees, and reimbursement of costs incurred in conne</w:t>
            </w:r>
            <w:r>
              <w:rPr>
                <w:rFonts w:eastAsiaTheme="minorEastAsia"/>
                <w:lang w:val="en-GB"/>
              </w:rPr>
              <w:t>ction with work (16,1%) and holiday pay (in the year 2021: 1.024,24 EUR))</w:t>
            </w:r>
            <w:r w:rsidR="004B4E99">
              <w:rPr>
                <w:rFonts w:eastAsiaTheme="minorEastAsia"/>
                <w:lang w:val="en-GB"/>
              </w:rPr>
              <w:t>.</w:t>
            </w:r>
            <w:r>
              <w:rPr>
                <w:rFonts w:eastAsiaTheme="minorEastAsia"/>
                <w:lang w:val="en-GB"/>
              </w:rPr>
              <w:t xml:space="preserve"> </w:t>
            </w:r>
            <w:proofErr w:type="spellStart"/>
            <w:r w:rsidR="004B4E99">
              <w:t>Remaining</w:t>
            </w:r>
            <w:proofErr w:type="spellEnd"/>
            <w:r w:rsidR="004B4E99">
              <w:t xml:space="preserve"> </w:t>
            </w:r>
            <w:proofErr w:type="spellStart"/>
            <w:r w:rsidR="004B4E99">
              <w:t>amount</w:t>
            </w:r>
            <w:proofErr w:type="spellEnd"/>
            <w:r w:rsidR="004B4E99">
              <w:t xml:space="preserve"> is </w:t>
            </w:r>
            <w:proofErr w:type="spellStart"/>
            <w:r w:rsidR="004B4E99">
              <w:t>for</w:t>
            </w:r>
            <w:proofErr w:type="spellEnd"/>
            <w:r w:rsidR="004B4E99">
              <w:t xml:space="preserve"> </w:t>
            </w:r>
            <w:proofErr w:type="spellStart"/>
            <w:r w:rsidR="004B4E99">
              <w:t>covering</w:t>
            </w:r>
            <w:proofErr w:type="spellEnd"/>
            <w:r w:rsidR="004B4E99">
              <w:t xml:space="preserve"> </w:t>
            </w:r>
            <w:proofErr w:type="spellStart"/>
            <w:r w:rsidR="004B4E99">
              <w:t>the</w:t>
            </w:r>
            <w:proofErr w:type="spellEnd"/>
            <w:r w:rsidR="004B4E99">
              <w:t xml:space="preserve"> administrative </w:t>
            </w:r>
            <w:proofErr w:type="spellStart"/>
            <w:r w:rsidR="004B4E99">
              <w:t>costs</w:t>
            </w:r>
            <w:proofErr w:type="spellEnd"/>
            <w:r w:rsidR="004B4E99">
              <w:t xml:space="preserve"> </w:t>
            </w:r>
            <w:proofErr w:type="spellStart"/>
            <w:r w:rsidR="004B4E99">
              <w:t>that</w:t>
            </w:r>
            <w:proofErr w:type="spellEnd"/>
            <w:r w:rsidR="004B4E99">
              <w:t xml:space="preserve"> </w:t>
            </w:r>
            <w:proofErr w:type="spellStart"/>
            <w:r w:rsidR="004B4E99">
              <w:t>occur</w:t>
            </w:r>
            <w:proofErr w:type="spellEnd"/>
            <w:r w:rsidR="004B4E99">
              <w:t>.</w:t>
            </w:r>
          </w:p>
          <w:p w14:paraId="1D00FCC5" w14:textId="77777777" w:rsidR="00743815" w:rsidRDefault="00743815" w:rsidP="00743815">
            <w:pPr>
              <w:jc w:val="both"/>
              <w:rPr>
                <w:rFonts w:eastAsiaTheme="minorEastAsia"/>
                <w:lang w:val="en-GB"/>
              </w:rPr>
            </w:pPr>
          </w:p>
          <w:p w14:paraId="49EDD4ED" w14:textId="13275E19" w:rsidR="00743815" w:rsidRPr="00DC35BE" w:rsidRDefault="00743815" w:rsidP="00743815">
            <w:pPr>
              <w:jc w:val="both"/>
              <w:rPr>
                <w:rFonts w:eastAsiaTheme="minorEastAsia"/>
                <w:lang w:val="en-GB"/>
              </w:rPr>
            </w:pPr>
            <m:oMathPara>
              <m:oMathParaPr>
                <m:jc m:val="left"/>
              </m:oMathParaPr>
              <m:oMath>
                <m:r>
                  <m:rPr>
                    <m:sty m:val="p"/>
                  </m:rPr>
                  <w:rPr>
                    <w:rFonts w:ascii="Cambria Math" w:hAnsi="Cambria Math"/>
                    <w:lang w:val="en-GB"/>
                  </w:rPr>
                  <m:t>cost for employer=12×1.900,43 EUR×1,161+1.024,24 EUR=27.501,03 EUR</m:t>
                </m:r>
              </m:oMath>
            </m:oMathPara>
          </w:p>
          <w:p w14:paraId="440E6D40" w14:textId="77777777" w:rsidR="00743815" w:rsidRDefault="00743815" w:rsidP="00743815">
            <w:pPr>
              <w:jc w:val="both"/>
              <w:rPr>
                <w:rFonts w:eastAsiaTheme="minorEastAsia"/>
                <w:lang w:val="en-GB"/>
              </w:rPr>
            </w:pPr>
          </w:p>
          <w:p w14:paraId="78821254" w14:textId="77777777" w:rsidR="00743815" w:rsidRPr="002E34EF" w:rsidRDefault="00743815" w:rsidP="00743815">
            <w:pPr>
              <w:jc w:val="both"/>
              <w:rPr>
                <w:rFonts w:eastAsiaTheme="minorEastAsia"/>
                <w:lang w:val="en-GB"/>
              </w:rPr>
            </w:pPr>
            <m:oMathPara>
              <m:oMathParaPr>
                <m:jc m:val="left"/>
              </m:oMathParaPr>
              <m:oMath>
                <m:r>
                  <m:rPr>
                    <m:sty m:val="p"/>
                  </m:rPr>
                  <w:rPr>
                    <w:rFonts w:ascii="Cambria Math" w:hAnsi="Cambria Math"/>
                    <w:lang w:val="en-GB"/>
                  </w:rPr>
                  <m:t>administrative costs=27.501,03 EUR×0,15=4.125,15 EUR</m:t>
                </m:r>
              </m:oMath>
            </m:oMathPara>
          </w:p>
          <w:p w14:paraId="62CFEF73" w14:textId="2AA829E9" w:rsidR="000E1A97" w:rsidRPr="00737DA5" w:rsidRDefault="000E1A97" w:rsidP="00AE06F8">
            <w:pPr>
              <w:pStyle w:val="Default"/>
              <w:rPr>
                <w:rFonts w:asciiTheme="minorHAnsi" w:hAnsiTheme="minorHAnsi" w:cstheme="minorHAnsi"/>
                <w:sz w:val="22"/>
                <w:szCs w:val="22"/>
                <w:lang w:val="en-GB"/>
              </w:rPr>
            </w:pPr>
          </w:p>
        </w:tc>
      </w:tr>
    </w:tbl>
    <w:p w14:paraId="57C8B158" w14:textId="77777777" w:rsidR="00B65532" w:rsidRPr="00737DA5" w:rsidRDefault="00B65532" w:rsidP="00B65532">
      <w:pPr>
        <w:pStyle w:val="Default"/>
        <w:ind w:left="720"/>
        <w:rPr>
          <w:rFonts w:asciiTheme="minorHAnsi" w:hAnsiTheme="minorHAnsi" w:cstheme="minorHAnsi"/>
          <w:sz w:val="22"/>
          <w:szCs w:val="22"/>
          <w:lang w:val="en-GB"/>
        </w:rPr>
      </w:pPr>
    </w:p>
    <w:p w14:paraId="4948548F" w14:textId="0B2B021A" w:rsidR="00B65532" w:rsidRPr="00737DA5" w:rsidRDefault="00B65532" w:rsidP="008F79EA">
      <w:pPr>
        <w:pStyle w:val="Default"/>
        <w:numPr>
          <w:ilvl w:val="0"/>
          <w:numId w:val="2"/>
        </w:numPr>
        <w:spacing w:after="160"/>
        <w:ind w:left="714" w:hanging="357"/>
        <w:rPr>
          <w:rFonts w:asciiTheme="minorHAnsi" w:hAnsiTheme="minorHAnsi" w:cstheme="minorHAnsi"/>
          <w:sz w:val="22"/>
          <w:szCs w:val="22"/>
          <w:lang w:val="en-GB"/>
        </w:rPr>
      </w:pPr>
      <w:r w:rsidRPr="00737DA5">
        <w:rPr>
          <w:rFonts w:asciiTheme="minorHAnsi" w:hAnsiTheme="minorHAnsi" w:cstheme="minorHAnsi"/>
          <w:sz w:val="22"/>
          <w:szCs w:val="22"/>
          <w:lang w:val="en-GB"/>
        </w:rPr>
        <w:t>Please explain how you have ensured that only eligible expenditure was included in the calculation of the standard scale of unit cost, lump sum or flat rate</w:t>
      </w:r>
      <w:r w:rsidR="00E96459">
        <w:rPr>
          <w:rFonts w:asciiTheme="minorHAnsi" w:hAnsiTheme="minorHAnsi" w:cstheme="minorHAnsi"/>
          <w:sz w:val="22"/>
          <w:szCs w:val="22"/>
          <w:lang w:val="en-GB"/>
        </w:rPr>
        <w:t>.</w:t>
      </w:r>
    </w:p>
    <w:tbl>
      <w:tblPr>
        <w:tblStyle w:val="Tabelamrea"/>
        <w:tblW w:w="0" w:type="auto"/>
        <w:tblInd w:w="-5" w:type="dxa"/>
        <w:tblLook w:val="04A0" w:firstRow="1" w:lastRow="0" w:firstColumn="1" w:lastColumn="0" w:noHBand="0" w:noVBand="1"/>
      </w:tblPr>
      <w:tblGrid>
        <w:gridCol w:w="13999"/>
      </w:tblGrid>
      <w:tr w:rsidR="008F79EA" w:rsidRPr="00737DA5" w14:paraId="2AE81FAF" w14:textId="77777777" w:rsidTr="00C4592C">
        <w:tc>
          <w:tcPr>
            <w:tcW w:w="13999" w:type="dxa"/>
          </w:tcPr>
          <w:p w14:paraId="2ECE0524" w14:textId="0BFC4EE1" w:rsidR="004C4C14" w:rsidRDefault="004C4C14" w:rsidP="00EF1341">
            <w:pPr>
              <w:pStyle w:val="Default"/>
              <w:rPr>
                <w:rFonts w:asciiTheme="minorHAnsi" w:hAnsiTheme="minorHAnsi" w:cstheme="minorHAnsi"/>
                <w:sz w:val="22"/>
                <w:szCs w:val="22"/>
                <w:lang w:val="en-GB"/>
              </w:rPr>
            </w:pPr>
            <w:r w:rsidRPr="004C4C14">
              <w:rPr>
                <w:rFonts w:asciiTheme="minorHAnsi" w:hAnsiTheme="minorHAnsi" w:cstheme="minorHAnsi"/>
                <w:sz w:val="22"/>
                <w:szCs w:val="22"/>
                <w:lang w:val="en-GB"/>
              </w:rPr>
              <w:t xml:space="preserve">The data used </w:t>
            </w:r>
            <w:r>
              <w:rPr>
                <w:rFonts w:asciiTheme="minorHAnsi" w:hAnsiTheme="minorHAnsi" w:cstheme="minorHAnsi"/>
                <w:sz w:val="22"/>
                <w:szCs w:val="22"/>
                <w:lang w:val="en-GB"/>
              </w:rPr>
              <w:t xml:space="preserve">for the calculation of standard scale of unit costs and lump sums </w:t>
            </w:r>
            <w:r w:rsidRPr="004C4C14">
              <w:rPr>
                <w:rFonts w:asciiTheme="minorHAnsi" w:hAnsiTheme="minorHAnsi" w:cstheme="minorHAnsi"/>
                <w:sz w:val="22"/>
                <w:szCs w:val="22"/>
                <w:lang w:val="en-GB"/>
              </w:rPr>
              <w:t xml:space="preserve">was verified in accordance with the management and control system description of the programme (e.g., management verifications, quality checks &amp; audits) and part of audit of operations with no findings. </w:t>
            </w:r>
            <w:r>
              <w:rPr>
                <w:rFonts w:asciiTheme="minorHAnsi" w:hAnsiTheme="minorHAnsi" w:cstheme="minorHAnsi"/>
                <w:sz w:val="22"/>
                <w:szCs w:val="22"/>
                <w:lang w:val="en-GB"/>
              </w:rPr>
              <w:t>T</w:t>
            </w:r>
            <w:r w:rsidRPr="004C4C14">
              <w:rPr>
                <w:rFonts w:asciiTheme="minorHAnsi" w:hAnsiTheme="minorHAnsi" w:cstheme="minorHAnsi"/>
                <w:sz w:val="22"/>
                <w:szCs w:val="22"/>
                <w:lang w:val="en-GB"/>
              </w:rPr>
              <w:t>he programme’s electronic monitoring system was assessed by the audit authority during their system audit assessed as category 1 in the 2014-2020 programming period.</w:t>
            </w:r>
          </w:p>
          <w:p w14:paraId="76E0D8BF" w14:textId="72448402" w:rsidR="008F79EA" w:rsidRPr="00737DA5" w:rsidRDefault="00EF1341" w:rsidP="00EF1341">
            <w:pPr>
              <w:pStyle w:val="Default"/>
              <w:rPr>
                <w:rFonts w:asciiTheme="minorHAnsi" w:hAnsiTheme="minorHAnsi" w:cstheme="minorHAnsi"/>
                <w:sz w:val="22"/>
                <w:szCs w:val="22"/>
                <w:lang w:val="en-GB"/>
              </w:rPr>
            </w:pPr>
            <w:r>
              <w:rPr>
                <w:rFonts w:asciiTheme="minorHAnsi" w:hAnsiTheme="minorHAnsi" w:cstheme="minorHAnsi"/>
                <w:sz w:val="22"/>
                <w:szCs w:val="22"/>
                <w:lang w:val="en-GB"/>
              </w:rPr>
              <w:t xml:space="preserve">In addition, statistical data about average gross salary were used, that were published by Statistical office of Republic of Slovenia; </w:t>
            </w:r>
            <w:r w:rsidR="00D0336C">
              <w:rPr>
                <w:rFonts w:asciiTheme="minorHAnsi" w:hAnsiTheme="minorHAnsi" w:cstheme="minorHAnsi"/>
                <w:sz w:val="22"/>
                <w:szCs w:val="22"/>
                <w:lang w:val="en-GB"/>
              </w:rPr>
              <w:t>th</w:t>
            </w:r>
            <w:r w:rsidR="00CA0ED0">
              <w:rPr>
                <w:rFonts w:asciiTheme="minorHAnsi" w:hAnsiTheme="minorHAnsi" w:cstheme="minorHAnsi"/>
                <w:sz w:val="22"/>
                <w:szCs w:val="22"/>
                <w:lang w:val="en-GB"/>
              </w:rPr>
              <w:t xml:space="preserve">us </w:t>
            </w:r>
            <w:r w:rsidR="00D0336C">
              <w:rPr>
                <w:rFonts w:asciiTheme="minorHAnsi" w:hAnsiTheme="minorHAnsi" w:cstheme="minorHAnsi"/>
                <w:sz w:val="22"/>
                <w:szCs w:val="22"/>
                <w:lang w:val="en-GB"/>
              </w:rPr>
              <w:t>eligibility is assured.</w:t>
            </w:r>
            <w:r>
              <w:rPr>
                <w:rFonts w:asciiTheme="minorHAnsi" w:hAnsiTheme="minorHAnsi" w:cstheme="minorHAnsi"/>
                <w:sz w:val="22"/>
                <w:szCs w:val="22"/>
                <w:lang w:val="en-GB"/>
              </w:rPr>
              <w:t xml:space="preserve"> </w:t>
            </w:r>
          </w:p>
        </w:tc>
      </w:tr>
    </w:tbl>
    <w:p w14:paraId="26143FA3" w14:textId="77777777" w:rsidR="00B65532" w:rsidRPr="00737DA5" w:rsidRDefault="00B65532" w:rsidP="00B65532">
      <w:pPr>
        <w:pStyle w:val="Default"/>
        <w:ind w:left="720"/>
        <w:rPr>
          <w:rFonts w:asciiTheme="minorHAnsi" w:hAnsiTheme="minorHAnsi" w:cstheme="minorHAnsi"/>
          <w:sz w:val="22"/>
          <w:szCs w:val="22"/>
          <w:lang w:val="en-GB"/>
        </w:rPr>
      </w:pPr>
    </w:p>
    <w:p w14:paraId="71DA197E" w14:textId="3F638E13" w:rsidR="00B65532" w:rsidRPr="00737DA5" w:rsidRDefault="00B65532" w:rsidP="008F79EA">
      <w:pPr>
        <w:pStyle w:val="Default"/>
        <w:numPr>
          <w:ilvl w:val="0"/>
          <w:numId w:val="2"/>
        </w:numPr>
        <w:spacing w:after="160"/>
        <w:ind w:left="714" w:hanging="357"/>
        <w:rPr>
          <w:rFonts w:asciiTheme="minorHAnsi" w:hAnsiTheme="minorHAnsi" w:cstheme="minorHAnsi"/>
          <w:sz w:val="22"/>
          <w:szCs w:val="22"/>
          <w:lang w:val="en-GB"/>
        </w:rPr>
      </w:pPr>
      <w:r w:rsidRPr="00737DA5">
        <w:rPr>
          <w:rFonts w:asciiTheme="minorHAnsi" w:hAnsiTheme="minorHAnsi" w:cstheme="minorHAnsi"/>
          <w:sz w:val="22"/>
          <w:szCs w:val="22"/>
          <w:lang w:val="en-GB"/>
        </w:rPr>
        <w:t>Assessment of the audit authority</w:t>
      </w:r>
      <w:r w:rsidR="00E96459">
        <w:rPr>
          <w:rFonts w:asciiTheme="minorHAnsi" w:hAnsiTheme="minorHAnsi" w:cstheme="minorHAnsi"/>
          <w:sz w:val="22"/>
          <w:szCs w:val="22"/>
          <w:lang w:val="en-GB"/>
        </w:rPr>
        <w:t>(</w:t>
      </w:r>
      <w:proofErr w:type="spellStart"/>
      <w:r w:rsidR="00E96459">
        <w:rPr>
          <w:rFonts w:asciiTheme="minorHAnsi" w:hAnsiTheme="minorHAnsi" w:cstheme="minorHAnsi"/>
          <w:sz w:val="22"/>
          <w:szCs w:val="22"/>
          <w:lang w:val="en-GB"/>
        </w:rPr>
        <w:t>ies</w:t>
      </w:r>
      <w:proofErr w:type="spellEnd"/>
      <w:r w:rsidR="00E96459">
        <w:rPr>
          <w:rFonts w:asciiTheme="minorHAnsi" w:hAnsiTheme="minorHAnsi" w:cstheme="minorHAnsi"/>
          <w:sz w:val="22"/>
          <w:szCs w:val="22"/>
          <w:lang w:val="en-GB"/>
        </w:rPr>
        <w:t>)</w:t>
      </w:r>
      <w:r w:rsidRPr="00737DA5">
        <w:rPr>
          <w:rFonts w:asciiTheme="minorHAnsi" w:hAnsiTheme="minorHAnsi" w:cstheme="minorHAnsi"/>
          <w:sz w:val="22"/>
          <w:szCs w:val="22"/>
          <w:lang w:val="en-GB"/>
        </w:rPr>
        <w:t xml:space="preserve"> of the calculation methodology and amounts and the arrangements to ensure the verification, quality, collection and storage of data</w:t>
      </w:r>
      <w:r w:rsidR="00920ED8">
        <w:rPr>
          <w:rFonts w:asciiTheme="minorHAnsi" w:hAnsiTheme="minorHAnsi" w:cstheme="minorHAnsi"/>
          <w:sz w:val="22"/>
          <w:szCs w:val="22"/>
          <w:lang w:val="en-GB"/>
        </w:rPr>
        <w:t>.</w:t>
      </w:r>
      <w:r w:rsidRPr="00737DA5">
        <w:rPr>
          <w:rFonts w:asciiTheme="minorHAnsi" w:hAnsiTheme="minorHAnsi" w:cstheme="minorHAnsi"/>
          <w:sz w:val="22"/>
          <w:szCs w:val="22"/>
          <w:lang w:val="en-GB"/>
        </w:rPr>
        <w:t xml:space="preserve"> </w:t>
      </w:r>
    </w:p>
    <w:tbl>
      <w:tblPr>
        <w:tblStyle w:val="Tabelamrea"/>
        <w:tblW w:w="0" w:type="auto"/>
        <w:tblInd w:w="-5" w:type="dxa"/>
        <w:tblLook w:val="04A0" w:firstRow="1" w:lastRow="0" w:firstColumn="1" w:lastColumn="0" w:noHBand="0" w:noVBand="1"/>
      </w:tblPr>
      <w:tblGrid>
        <w:gridCol w:w="13999"/>
      </w:tblGrid>
      <w:tr w:rsidR="008F79EA" w:rsidRPr="00737DA5" w14:paraId="3ED47E1B" w14:textId="77777777" w:rsidTr="00C4592C">
        <w:tc>
          <w:tcPr>
            <w:tcW w:w="13999" w:type="dxa"/>
          </w:tcPr>
          <w:p w14:paraId="5710E956" w14:textId="77777777" w:rsidR="008F79EA" w:rsidRPr="00737DA5" w:rsidRDefault="008F79EA" w:rsidP="00B65532">
            <w:pPr>
              <w:pStyle w:val="Odstavekseznama"/>
              <w:ind w:left="0"/>
              <w:rPr>
                <w:rFonts w:cstheme="minorHAnsi"/>
                <w:lang w:val="en-GB"/>
              </w:rPr>
            </w:pPr>
          </w:p>
        </w:tc>
      </w:tr>
    </w:tbl>
    <w:p w14:paraId="78F6A0EE" w14:textId="77777777" w:rsidR="00B65532" w:rsidRPr="00737DA5" w:rsidRDefault="00B65532" w:rsidP="00B65532">
      <w:pPr>
        <w:pStyle w:val="Odstavekseznama"/>
        <w:rPr>
          <w:rFonts w:cstheme="minorHAnsi"/>
          <w:lang w:val="en-GB"/>
        </w:rPr>
      </w:pPr>
    </w:p>
    <w:sectPr w:rsidR="00B65532" w:rsidRPr="00737DA5" w:rsidSect="00E5325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
    <w:altName w:val="MS Gothic"/>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707"/>
    <w:multiLevelType w:val="hybridMultilevel"/>
    <w:tmpl w:val="E50A595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1114A42"/>
    <w:multiLevelType w:val="hybridMultilevel"/>
    <w:tmpl w:val="BA7A636E"/>
    <w:lvl w:ilvl="0" w:tplc="04240017">
      <w:start w:val="1"/>
      <w:numFmt w:val="lowerLetter"/>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8F01AF8"/>
    <w:multiLevelType w:val="hybridMultilevel"/>
    <w:tmpl w:val="AAB0BB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945568B"/>
    <w:multiLevelType w:val="hybridMultilevel"/>
    <w:tmpl w:val="1528F46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4EE310CD"/>
    <w:multiLevelType w:val="hybridMultilevel"/>
    <w:tmpl w:val="52FAA448"/>
    <w:lvl w:ilvl="0" w:tplc="9208BBEE">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0267A47"/>
    <w:multiLevelType w:val="hybridMultilevel"/>
    <w:tmpl w:val="32F67942"/>
    <w:lvl w:ilvl="0" w:tplc="599E9846">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0CE3FEA"/>
    <w:multiLevelType w:val="hybridMultilevel"/>
    <w:tmpl w:val="5BB2537E"/>
    <w:lvl w:ilvl="0" w:tplc="94B09EAA">
      <w:start w:val="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80637A"/>
    <w:multiLevelType w:val="hybridMultilevel"/>
    <w:tmpl w:val="970C0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14B1448"/>
    <w:multiLevelType w:val="hybridMultilevel"/>
    <w:tmpl w:val="C8026706"/>
    <w:lvl w:ilvl="0" w:tplc="1910CC72">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8"/>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7B39"/>
    <w:rsid w:val="00014FF0"/>
    <w:rsid w:val="00021004"/>
    <w:rsid w:val="00021A07"/>
    <w:rsid w:val="0007144F"/>
    <w:rsid w:val="00093842"/>
    <w:rsid w:val="000A4DC1"/>
    <w:rsid w:val="000B67EA"/>
    <w:rsid w:val="000D0101"/>
    <w:rsid w:val="000E1A97"/>
    <w:rsid w:val="000E6E45"/>
    <w:rsid w:val="000F780B"/>
    <w:rsid w:val="001007A6"/>
    <w:rsid w:val="00103FDB"/>
    <w:rsid w:val="00127959"/>
    <w:rsid w:val="00133024"/>
    <w:rsid w:val="001566FA"/>
    <w:rsid w:val="00160920"/>
    <w:rsid w:val="0016765E"/>
    <w:rsid w:val="00187FFB"/>
    <w:rsid w:val="00191E88"/>
    <w:rsid w:val="001A241C"/>
    <w:rsid w:val="001C22D2"/>
    <w:rsid w:val="001C65FA"/>
    <w:rsid w:val="001C717B"/>
    <w:rsid w:val="001D2488"/>
    <w:rsid w:val="001D264C"/>
    <w:rsid w:val="001D7400"/>
    <w:rsid w:val="001E1D2E"/>
    <w:rsid w:val="002006DC"/>
    <w:rsid w:val="00215B0B"/>
    <w:rsid w:val="0023486B"/>
    <w:rsid w:val="002354D6"/>
    <w:rsid w:val="00237FB6"/>
    <w:rsid w:val="002539A4"/>
    <w:rsid w:val="002546EB"/>
    <w:rsid w:val="00271C3A"/>
    <w:rsid w:val="00272036"/>
    <w:rsid w:val="00273982"/>
    <w:rsid w:val="00285DC5"/>
    <w:rsid w:val="002908CF"/>
    <w:rsid w:val="00296293"/>
    <w:rsid w:val="002A4A42"/>
    <w:rsid w:val="002A706C"/>
    <w:rsid w:val="002A71AB"/>
    <w:rsid w:val="002A7D23"/>
    <w:rsid w:val="002B7706"/>
    <w:rsid w:val="002C0A1A"/>
    <w:rsid w:val="00312CA3"/>
    <w:rsid w:val="00323AB7"/>
    <w:rsid w:val="003651C7"/>
    <w:rsid w:val="00392036"/>
    <w:rsid w:val="003B681C"/>
    <w:rsid w:val="003E1430"/>
    <w:rsid w:val="003E1EC4"/>
    <w:rsid w:val="003E35E5"/>
    <w:rsid w:val="003E5628"/>
    <w:rsid w:val="0040235A"/>
    <w:rsid w:val="00404DF2"/>
    <w:rsid w:val="004053B2"/>
    <w:rsid w:val="0044203E"/>
    <w:rsid w:val="0048490C"/>
    <w:rsid w:val="004930AE"/>
    <w:rsid w:val="0049618B"/>
    <w:rsid w:val="004A0FC4"/>
    <w:rsid w:val="004A74B0"/>
    <w:rsid w:val="004B4E99"/>
    <w:rsid w:val="004C4C14"/>
    <w:rsid w:val="004D6D5C"/>
    <w:rsid w:val="004F4506"/>
    <w:rsid w:val="004F4AA9"/>
    <w:rsid w:val="005070B9"/>
    <w:rsid w:val="00510CC1"/>
    <w:rsid w:val="0051143D"/>
    <w:rsid w:val="005247B3"/>
    <w:rsid w:val="005371EA"/>
    <w:rsid w:val="00546E2E"/>
    <w:rsid w:val="005478CE"/>
    <w:rsid w:val="00557BF0"/>
    <w:rsid w:val="00562AA9"/>
    <w:rsid w:val="00572857"/>
    <w:rsid w:val="00587561"/>
    <w:rsid w:val="00592090"/>
    <w:rsid w:val="005925EA"/>
    <w:rsid w:val="005F60C2"/>
    <w:rsid w:val="00603063"/>
    <w:rsid w:val="00625437"/>
    <w:rsid w:val="006304BA"/>
    <w:rsid w:val="00661842"/>
    <w:rsid w:val="00671210"/>
    <w:rsid w:val="00676C6D"/>
    <w:rsid w:val="006845EF"/>
    <w:rsid w:val="006879EE"/>
    <w:rsid w:val="006969E9"/>
    <w:rsid w:val="006A3D51"/>
    <w:rsid w:val="006C282C"/>
    <w:rsid w:val="006C498E"/>
    <w:rsid w:val="006F1C04"/>
    <w:rsid w:val="00721379"/>
    <w:rsid w:val="00734468"/>
    <w:rsid w:val="00736A62"/>
    <w:rsid w:val="00737DA5"/>
    <w:rsid w:val="00743815"/>
    <w:rsid w:val="00746A44"/>
    <w:rsid w:val="00756F02"/>
    <w:rsid w:val="0077222E"/>
    <w:rsid w:val="007925EF"/>
    <w:rsid w:val="00796B85"/>
    <w:rsid w:val="007D0367"/>
    <w:rsid w:val="00801656"/>
    <w:rsid w:val="0084472E"/>
    <w:rsid w:val="0087663D"/>
    <w:rsid w:val="00891AB5"/>
    <w:rsid w:val="00891BFA"/>
    <w:rsid w:val="00892ADE"/>
    <w:rsid w:val="00894716"/>
    <w:rsid w:val="008965AF"/>
    <w:rsid w:val="008A69C1"/>
    <w:rsid w:val="008B3FDD"/>
    <w:rsid w:val="008E047B"/>
    <w:rsid w:val="008E5169"/>
    <w:rsid w:val="008F1E56"/>
    <w:rsid w:val="008F565D"/>
    <w:rsid w:val="008F79EA"/>
    <w:rsid w:val="00903A00"/>
    <w:rsid w:val="00910354"/>
    <w:rsid w:val="00910688"/>
    <w:rsid w:val="00920ED8"/>
    <w:rsid w:val="0092109A"/>
    <w:rsid w:val="00935166"/>
    <w:rsid w:val="00945016"/>
    <w:rsid w:val="00954A51"/>
    <w:rsid w:val="009623D0"/>
    <w:rsid w:val="00977E7D"/>
    <w:rsid w:val="009803A5"/>
    <w:rsid w:val="009C197A"/>
    <w:rsid w:val="009C5853"/>
    <w:rsid w:val="009D0D9B"/>
    <w:rsid w:val="009E43A3"/>
    <w:rsid w:val="009F0DC2"/>
    <w:rsid w:val="009F39DE"/>
    <w:rsid w:val="00A52926"/>
    <w:rsid w:val="00A66E64"/>
    <w:rsid w:val="00A71788"/>
    <w:rsid w:val="00A75D4E"/>
    <w:rsid w:val="00A94261"/>
    <w:rsid w:val="00AC2497"/>
    <w:rsid w:val="00AC3907"/>
    <w:rsid w:val="00AC3CF8"/>
    <w:rsid w:val="00AC7712"/>
    <w:rsid w:val="00AD4C43"/>
    <w:rsid w:val="00AE06F8"/>
    <w:rsid w:val="00AE2BB6"/>
    <w:rsid w:val="00AF196F"/>
    <w:rsid w:val="00B0273F"/>
    <w:rsid w:val="00B0532B"/>
    <w:rsid w:val="00B12888"/>
    <w:rsid w:val="00B15C0D"/>
    <w:rsid w:val="00B219EB"/>
    <w:rsid w:val="00B21C0C"/>
    <w:rsid w:val="00B37D46"/>
    <w:rsid w:val="00B4060B"/>
    <w:rsid w:val="00B45801"/>
    <w:rsid w:val="00B5319E"/>
    <w:rsid w:val="00B5739E"/>
    <w:rsid w:val="00B65532"/>
    <w:rsid w:val="00B81C77"/>
    <w:rsid w:val="00B903B8"/>
    <w:rsid w:val="00B93774"/>
    <w:rsid w:val="00B96B80"/>
    <w:rsid w:val="00BA2758"/>
    <w:rsid w:val="00BA360E"/>
    <w:rsid w:val="00BA7C73"/>
    <w:rsid w:val="00BB38DC"/>
    <w:rsid w:val="00C13F99"/>
    <w:rsid w:val="00C2175E"/>
    <w:rsid w:val="00C24DA6"/>
    <w:rsid w:val="00C379BA"/>
    <w:rsid w:val="00C430B3"/>
    <w:rsid w:val="00C44098"/>
    <w:rsid w:val="00C4592C"/>
    <w:rsid w:val="00C47AD0"/>
    <w:rsid w:val="00C523FF"/>
    <w:rsid w:val="00C57571"/>
    <w:rsid w:val="00C70EB6"/>
    <w:rsid w:val="00C7140F"/>
    <w:rsid w:val="00C84EF6"/>
    <w:rsid w:val="00C97651"/>
    <w:rsid w:val="00CA0ED0"/>
    <w:rsid w:val="00CA7A10"/>
    <w:rsid w:val="00CB118F"/>
    <w:rsid w:val="00CB46B5"/>
    <w:rsid w:val="00CC132F"/>
    <w:rsid w:val="00CC204A"/>
    <w:rsid w:val="00CD3A4C"/>
    <w:rsid w:val="00CF4210"/>
    <w:rsid w:val="00D009C1"/>
    <w:rsid w:val="00D01D87"/>
    <w:rsid w:val="00D021CC"/>
    <w:rsid w:val="00D0336C"/>
    <w:rsid w:val="00D242FC"/>
    <w:rsid w:val="00D3047E"/>
    <w:rsid w:val="00D33DD8"/>
    <w:rsid w:val="00D352E0"/>
    <w:rsid w:val="00D40255"/>
    <w:rsid w:val="00D65979"/>
    <w:rsid w:val="00D756AE"/>
    <w:rsid w:val="00D832F1"/>
    <w:rsid w:val="00D93F6F"/>
    <w:rsid w:val="00DA1D28"/>
    <w:rsid w:val="00DA76C8"/>
    <w:rsid w:val="00DF3B06"/>
    <w:rsid w:val="00DF619B"/>
    <w:rsid w:val="00E03F3D"/>
    <w:rsid w:val="00E11C13"/>
    <w:rsid w:val="00E13B4B"/>
    <w:rsid w:val="00E158C7"/>
    <w:rsid w:val="00E24C93"/>
    <w:rsid w:val="00E310C0"/>
    <w:rsid w:val="00E31A9B"/>
    <w:rsid w:val="00E47A2A"/>
    <w:rsid w:val="00E53254"/>
    <w:rsid w:val="00E85CFF"/>
    <w:rsid w:val="00E91317"/>
    <w:rsid w:val="00E96459"/>
    <w:rsid w:val="00EA011A"/>
    <w:rsid w:val="00EC58FE"/>
    <w:rsid w:val="00EF1341"/>
    <w:rsid w:val="00F368D7"/>
    <w:rsid w:val="00F45EA6"/>
    <w:rsid w:val="00F622B7"/>
    <w:rsid w:val="00F91D94"/>
    <w:rsid w:val="00F94A67"/>
    <w:rsid w:val="00FA4E3B"/>
    <w:rsid w:val="00FB06DE"/>
    <w:rsid w:val="00FC1BBF"/>
    <w:rsid w:val="00FE1BD3"/>
    <w:rsid w:val="00FE240B"/>
    <w:rsid w:val="00FE2BE7"/>
    <w:rsid w:val="00FE2C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64BA"/>
  <w15:docId w15:val="{60AD7C22-D76A-4429-924A-B160D645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5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53254"/>
    <w:pPr>
      <w:ind w:left="720"/>
      <w:contextualSpacing/>
    </w:pPr>
  </w:style>
  <w:style w:type="paragraph" w:customStyle="1" w:styleId="Default">
    <w:name w:val="Default"/>
    <w:rsid w:val="00B65532"/>
    <w:pPr>
      <w:autoSpaceDE w:val="0"/>
      <w:autoSpaceDN w:val="0"/>
      <w:adjustRightInd w:val="0"/>
      <w:spacing w:after="0" w:line="240" w:lineRule="auto"/>
    </w:pPr>
    <w:rPr>
      <w:rFonts w:ascii="EUAlbertina" w:hAnsi="EUAlbertina" w:cs="EUAlbertina"/>
      <w:color w:val="000000"/>
      <w:sz w:val="24"/>
      <w:szCs w:val="24"/>
    </w:rPr>
  </w:style>
  <w:style w:type="character" w:styleId="Pripombasklic">
    <w:name w:val="annotation reference"/>
    <w:basedOn w:val="Privzetapisavaodstavka"/>
    <w:uiPriority w:val="99"/>
    <w:semiHidden/>
    <w:unhideWhenUsed/>
    <w:rsid w:val="007D0367"/>
    <w:rPr>
      <w:sz w:val="16"/>
      <w:szCs w:val="16"/>
    </w:rPr>
  </w:style>
  <w:style w:type="paragraph" w:styleId="Pripombabesedilo">
    <w:name w:val="annotation text"/>
    <w:basedOn w:val="Navaden"/>
    <w:link w:val="PripombabesediloZnak"/>
    <w:uiPriority w:val="99"/>
    <w:semiHidden/>
    <w:unhideWhenUsed/>
    <w:rsid w:val="007D036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D0367"/>
    <w:rPr>
      <w:sz w:val="20"/>
      <w:szCs w:val="20"/>
    </w:rPr>
  </w:style>
  <w:style w:type="paragraph" w:styleId="Zadevapripombe">
    <w:name w:val="annotation subject"/>
    <w:basedOn w:val="Pripombabesedilo"/>
    <w:next w:val="Pripombabesedilo"/>
    <w:link w:val="ZadevapripombeZnak"/>
    <w:uiPriority w:val="99"/>
    <w:semiHidden/>
    <w:unhideWhenUsed/>
    <w:rsid w:val="007D0367"/>
    <w:rPr>
      <w:b/>
      <w:bCs/>
    </w:rPr>
  </w:style>
  <w:style w:type="character" w:customStyle="1" w:styleId="ZadevapripombeZnak">
    <w:name w:val="Zadeva pripombe Znak"/>
    <w:basedOn w:val="PripombabesediloZnak"/>
    <w:link w:val="Zadevapripombe"/>
    <w:uiPriority w:val="99"/>
    <w:semiHidden/>
    <w:rsid w:val="007D0367"/>
    <w:rPr>
      <w:b/>
      <w:bCs/>
      <w:sz w:val="20"/>
      <w:szCs w:val="20"/>
    </w:rPr>
  </w:style>
  <w:style w:type="paragraph" w:styleId="Besedilooblaka">
    <w:name w:val="Balloon Text"/>
    <w:basedOn w:val="Navaden"/>
    <w:link w:val="BesedilooblakaZnak"/>
    <w:uiPriority w:val="99"/>
    <w:semiHidden/>
    <w:unhideWhenUsed/>
    <w:rsid w:val="007D036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0367"/>
    <w:rPr>
      <w:rFonts w:ascii="Tahoma" w:hAnsi="Tahoma" w:cs="Tahoma"/>
      <w:sz w:val="16"/>
      <w:szCs w:val="16"/>
    </w:rPr>
  </w:style>
  <w:style w:type="paragraph" w:styleId="Revizija">
    <w:name w:val="Revision"/>
    <w:hidden/>
    <w:uiPriority w:val="99"/>
    <w:semiHidden/>
    <w:rsid w:val="00CC204A"/>
    <w:pPr>
      <w:spacing w:after="0" w:line="240" w:lineRule="auto"/>
    </w:pPr>
  </w:style>
  <w:style w:type="paragraph" w:styleId="Noga">
    <w:name w:val="footer"/>
    <w:basedOn w:val="Navaden"/>
    <w:link w:val="NogaZnak"/>
    <w:uiPriority w:val="99"/>
    <w:unhideWhenUsed/>
    <w:rsid w:val="00CC204A"/>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sl-SI" w:bidi="sl-SI"/>
    </w:rPr>
  </w:style>
  <w:style w:type="character" w:customStyle="1" w:styleId="NogaZnak">
    <w:name w:val="Noga Znak"/>
    <w:basedOn w:val="Privzetapisavaodstavka"/>
    <w:link w:val="Noga"/>
    <w:uiPriority w:val="99"/>
    <w:rsid w:val="00CC204A"/>
    <w:rPr>
      <w:rFonts w:ascii="Times New Roman" w:eastAsia="Calibri" w:hAnsi="Times New Roman" w:cs="Times New Roman"/>
      <w:sz w:val="24"/>
      <w:lang w:eastAsia="sl-SI" w:bidi="sl-SI"/>
    </w:rPr>
  </w:style>
  <w:style w:type="character" w:customStyle="1" w:styleId="jlqj4b">
    <w:name w:val="jlqj4b"/>
    <w:basedOn w:val="Privzetapisavaodstavka"/>
    <w:rsid w:val="00AC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83505">
      <w:bodyDiv w:val="1"/>
      <w:marLeft w:val="0"/>
      <w:marRight w:val="0"/>
      <w:marTop w:val="0"/>
      <w:marBottom w:val="0"/>
      <w:divBdr>
        <w:top w:val="none" w:sz="0" w:space="0" w:color="auto"/>
        <w:left w:val="none" w:sz="0" w:space="0" w:color="auto"/>
        <w:bottom w:val="none" w:sz="0" w:space="0" w:color="auto"/>
        <w:right w:val="none" w:sz="0" w:space="0" w:color="auto"/>
      </w:divBdr>
    </w:div>
    <w:div w:id="154868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49D676-CB13-41C0-89B9-988D73FA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5373</Words>
  <Characters>30627</Characters>
  <Application>Microsoft Office Word</Application>
  <DocSecurity>0</DocSecurity>
  <Lines>255</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Šnuderl</dc:creator>
  <cp:lastModifiedBy>Jasmina Litrop</cp:lastModifiedBy>
  <cp:revision>3</cp:revision>
  <dcterms:created xsi:type="dcterms:W3CDTF">2021-12-08T08:45:00Z</dcterms:created>
  <dcterms:modified xsi:type="dcterms:W3CDTF">2021-12-10T13:13:00Z</dcterms:modified>
</cp:coreProperties>
</file>